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4000"/>
      </w:pPr>
    </w:p>
    <w:p>
      <w:pPr>
        <w:spacing w:before="1200" w:after="200"/>
        <w:jc w:val="center"/>
      </w:pPr>
      <w:r>
        <w:rPr>
          <w:b/>
          <w:bCs/>
          <w:sz w:val="60"/>
          <w:szCs w:val="60"/>
          <w:rFonts w:ascii="Microsoft YaHei" w:cs="Microsoft YaHei" w:eastAsia="Microsoft YaHei" w:hAnsi="Microsoft YaHei"/>
        </w:rPr>
        <w:t xml:space="preserve">Token Factory</w:t>
      </w:r>
    </w:p>
    <w:p>
      <w:pPr>
        <w:spacing w:after="400"/>
        <w:jc w:val="center"/>
      </w:pPr>
      <w:r>
        <w:rPr>
          <w:color w:val="666666"/>
          <w:sz w:val="36"/>
          <w:szCs w:val="36"/>
          <w:rFonts w:ascii="Microsoft YaHei" w:cs="Microsoft YaHei" w:eastAsia="Microsoft YaHei" w:hAnsi="Microsoft YaHei"/>
        </w:rPr>
        <w:t xml:space="preserve">AI API 网关/代理系统 架构分析文档</w:t>
      </w:r>
    </w:p>
    <w:p>
      <w:pPr>
        <w:spacing w:before="200" w:after="200"/>
        <w:jc w:val="center"/>
      </w:pPr>
      <w:r>
        <w:rPr>
          <w:color w:val="CCCCCC"/>
          <w:sz w:val="24"/>
          <w:szCs w:val="24"/>
        </w:rPr>
        <w:t xml:space="preserve">━━━━━━━━━━━━━━━━━━━━━━━━━━━━━━━━━━━━━━━</w:t>
      </w:r>
    </w:p>
    <w:p>
      <w:pPr>
        <w:spacing w:before="800"/>
        <w:jc w:val="center"/>
      </w:pPr>
      <w:r>
        <w:rPr>
          <w:color w:val="888888"/>
          <w:sz w:val="24"/>
          <w:szCs w:val="24"/>
          <w:rFonts w:ascii="Microsoft YaHei" w:cs="Microsoft YaHei" w:eastAsia="Microsoft YaHei" w:hAnsi="Microsoft YaHei"/>
        </w:rPr>
        <w:t xml:space="preserve">版本：1.0</w:t>
      </w:r>
    </w:p>
    <w:p>
      <w:pPr>
        <w:spacing w:before="100"/>
        <w:jc w:val="center"/>
      </w:pPr>
      <w:r>
        <w:rPr>
          <w:color w:val="888888"/>
          <w:sz w:val="24"/>
          <w:szCs w:val="24"/>
          <w:rFonts w:ascii="Microsoft YaHei" w:cs="Microsoft YaHei" w:eastAsia="Microsoft YaHei" w:hAnsi="Microsoft YaHei"/>
        </w:rPr>
        <w:t xml:space="preserve">日期：2026-06-01</w:t>
      </w:r>
    </w:p>
    <w:p>
      <w:pPr>
        <w:spacing w:before="100"/>
        <w:jc w:val="center"/>
      </w:pPr>
      <w:r>
        <w:rPr>
          <w:color w:val="888888"/>
          <w:sz w:val="24"/>
          <w:szCs w:val="24"/>
          <w:rFonts w:ascii="Microsoft YaHei" w:cs="Microsoft YaHei" w:eastAsia="Microsoft YaHei" w:hAnsi="Microsoft YaHei"/>
        </w:rPr>
        <w:t xml:space="preserve">技术栈：Go 1.22+ / React 18 / Gin / GORM v2</w:t>
      </w:r>
    </w:p>
    <w:p>
      <w:r>
        <w:br w:type="page"/>
      </w:r>
    </w:p>
    <w:p>
      <w:pPr>
        <w:pStyle w:val="Heading1"/>
        <w:spacing w:before="360" w:after="200"/>
      </w:pPr>
      <w:r>
        <w:rPr>
          <w:rFonts w:ascii="Microsoft YaHei" w:cs="Microsoft YaHei" w:eastAsia="Microsoft YaHei" w:hAnsi="Microsoft YaHei"/>
        </w:rPr>
        <w:t xml:space="preserve">目录</w:t>
      </w:r>
    </w:p>
    <w:p>
      <w:pPr>
        <w:spacing w:before="60" w:after="60" w:line="276"/>
      </w:pPr>
      <w:r>
        <w:rPr>
          <w:sz w:val="21"/>
          <w:szCs w:val="21"/>
          <w:rFonts w:ascii="Microsoft YaHei" w:cs="Microsoft YaHei" w:eastAsia="Microsoft YaHei" w:hAnsi="Microsoft YaHei"/>
        </w:rPr>
        <w:t xml:space="preserve">1. 项目概述与技术栈</w:t>
      </w:r>
    </w:p>
    <w:p>
      <w:pPr>
        <w:spacing w:before="60" w:after="60" w:line="276"/>
      </w:pPr>
      <w:r>
        <w:rPr>
          <w:sz w:val="21"/>
          <w:szCs w:val="21"/>
          <w:rFonts w:ascii="Microsoft YaHei" w:cs="Microsoft YaHei" w:eastAsia="Microsoft YaHei" w:hAnsi="Microsoft YaHei"/>
        </w:rPr>
        <w:t xml:space="preserve">2. 系统架构总览</w:t>
      </w:r>
    </w:p>
    <w:p>
      <w:pPr>
        <w:spacing w:before="60" w:after="60" w:line="276"/>
      </w:pPr>
      <w:r>
        <w:rPr>
          <w:sz w:val="21"/>
          <w:szCs w:val="21"/>
          <w:rFonts w:ascii="Microsoft YaHei" w:cs="Microsoft YaHei" w:eastAsia="Microsoft YaHei" w:hAnsi="Microsoft YaHei"/>
        </w:rPr>
        <w:t xml:space="preserve">3. 后端路由模块（router）</w:t>
      </w:r>
    </w:p>
    <w:p>
      <w:pPr>
        <w:spacing w:before="60" w:after="60" w:line="276"/>
      </w:pPr>
      <w:r>
        <w:rPr>
          <w:sz w:val="21"/>
          <w:szCs w:val="21"/>
          <w:rFonts w:ascii="Microsoft YaHei" w:cs="Microsoft YaHei" w:eastAsia="Microsoft YaHei" w:hAnsi="Microsoft YaHei"/>
        </w:rPr>
        <w:t xml:space="preserve">4. 控制器层（controller）</w:t>
      </w:r>
    </w:p>
    <w:p>
      <w:pPr>
        <w:spacing w:before="60" w:after="60" w:line="276"/>
      </w:pPr>
      <w:r>
        <w:rPr>
          <w:sz w:val="21"/>
          <w:szCs w:val="21"/>
          <w:rFonts w:ascii="Microsoft YaHei" w:cs="Microsoft YaHei" w:eastAsia="Microsoft YaHei" w:hAnsi="Microsoft YaHei"/>
        </w:rPr>
        <w:t xml:space="preserve">5. 数据模型层（model）</w:t>
      </w:r>
    </w:p>
    <w:p>
      <w:pPr>
        <w:spacing w:before="60" w:after="60" w:line="276"/>
      </w:pPr>
      <w:r>
        <w:rPr>
          <w:sz w:val="21"/>
          <w:szCs w:val="21"/>
          <w:rFonts w:ascii="Microsoft YaHei" w:cs="Microsoft YaHei" w:eastAsia="Microsoft YaHei" w:hAnsi="Microsoft YaHei"/>
        </w:rPr>
        <w:t xml:space="preserve">6. Relay 代理转发模块</w:t>
      </w:r>
    </w:p>
    <w:p>
      <w:pPr>
        <w:spacing w:before="60" w:after="60" w:line="276"/>
      </w:pPr>
      <w:r>
        <w:rPr>
          <w:sz w:val="21"/>
          <w:szCs w:val="21"/>
          <w:rFonts w:ascii="Microsoft YaHei" w:cs="Microsoft YaHei" w:eastAsia="Microsoft YaHei" w:hAnsi="Microsoft YaHei"/>
        </w:rPr>
        <w:t xml:space="preserve">7. 业务服务层（service）</w:t>
      </w:r>
    </w:p>
    <w:p>
      <w:pPr>
        <w:spacing w:before="60" w:after="60" w:line="276"/>
      </w:pPr>
      <w:r>
        <w:rPr>
          <w:sz w:val="21"/>
          <w:szCs w:val="21"/>
          <w:rFonts w:ascii="Microsoft YaHei" w:cs="Microsoft YaHei" w:eastAsia="Microsoft YaHei" w:hAnsi="Microsoft YaHei"/>
        </w:rPr>
        <w:t xml:space="preserve">8. 中间件层（middleware）</w:t>
      </w:r>
    </w:p>
    <w:p>
      <w:pPr>
        <w:spacing w:before="60" w:after="60" w:line="276"/>
      </w:pPr>
      <w:r>
        <w:rPr>
          <w:sz w:val="21"/>
          <w:szCs w:val="21"/>
          <w:rFonts w:ascii="Microsoft YaHei" w:cs="Microsoft YaHei" w:eastAsia="Microsoft YaHei" w:hAnsi="Microsoft YaHei"/>
        </w:rPr>
        <w:t xml:space="preserve">9. 配置管理（setting）</w:t>
      </w:r>
    </w:p>
    <w:p>
      <w:pPr>
        <w:spacing w:before="60" w:after="60" w:line="276"/>
      </w:pPr>
      <w:r>
        <w:rPr>
          <w:sz w:val="21"/>
          <w:szCs w:val="21"/>
          <w:rFonts w:ascii="Microsoft YaHei" w:cs="Microsoft YaHei" w:eastAsia="Microsoft YaHei" w:hAnsi="Microsoft YaHei"/>
        </w:rPr>
        <w:t xml:space="preserve">10. 公共工具（common）</w:t>
      </w:r>
    </w:p>
    <w:p>
      <w:pPr>
        <w:spacing w:before="60" w:after="60" w:line="276"/>
      </w:pPr>
      <w:r>
        <w:rPr>
          <w:sz w:val="21"/>
          <w:szCs w:val="21"/>
          <w:rFonts w:ascii="Microsoft YaHei" w:cs="Microsoft YaHei" w:eastAsia="Microsoft YaHei" w:hAnsi="Microsoft YaHei"/>
        </w:rPr>
        <w:t xml:space="preserve">11. OAuth 认证模块</w:t>
      </w:r>
    </w:p>
    <w:p>
      <w:pPr>
        <w:spacing w:before="60" w:after="60" w:line="276"/>
      </w:pPr>
      <w:r>
        <w:rPr>
          <w:sz w:val="21"/>
          <w:szCs w:val="21"/>
          <w:rFonts w:ascii="Microsoft YaHei" w:cs="Microsoft YaHei" w:eastAsia="Microsoft YaHei" w:hAnsi="Microsoft YaHei"/>
        </w:rPr>
        <w:t xml:space="preserve">12. 类型定义（types / dto / constant）</w:t>
      </w:r>
    </w:p>
    <w:p>
      <w:pPr>
        <w:spacing w:before="60" w:after="60" w:line="276"/>
      </w:pPr>
      <w:r>
        <w:rPr>
          <w:sz w:val="21"/>
          <w:szCs w:val="21"/>
          <w:rFonts w:ascii="Microsoft YaHei" w:cs="Microsoft YaHei" w:eastAsia="Microsoft YaHei" w:hAnsi="Microsoft YaHei"/>
        </w:rPr>
        <w:t xml:space="preserve">13. 前端模块（web）</w:t>
      </w:r>
    </w:p>
    <w:p>
      <w:pPr>
        <w:spacing w:before="60" w:after="60" w:line="276"/>
      </w:pPr>
      <w:r>
        <w:rPr>
          <w:sz w:val="21"/>
          <w:szCs w:val="21"/>
          <w:rFonts w:ascii="Microsoft YaHei" w:cs="Microsoft YaHei" w:eastAsia="Microsoft YaHei" w:hAnsi="Microsoft YaHei"/>
        </w:rPr>
        <w:t xml:space="preserve">14. 国际化（i18n）</w:t>
      </w:r>
    </w:p>
    <w:p>
      <w:pPr>
        <w:spacing w:before="60" w:after="60" w:line="276"/>
      </w:pPr>
      <w:r>
        <w:rPr>
          <w:sz w:val="21"/>
          <w:szCs w:val="21"/>
          <w:rFonts w:ascii="Microsoft YaHei" w:cs="Microsoft YaHei" w:eastAsia="Microsoft YaHei" w:hAnsi="Microsoft YaHei"/>
        </w:rPr>
        <w:t xml:space="preserve">15. 构建与部署</w:t>
      </w:r>
    </w:p>
    <w:p>
      <w:r>
        <w:br w:type="page"/>
      </w:r>
    </w:p>
    <w:p>
      <w:pPr>
        <w:pStyle w:val="Heading1"/>
        <w:spacing w:before="360" w:after="200"/>
      </w:pPr>
      <w:r>
        <w:rPr>
          <w:rFonts w:ascii="Microsoft YaHei" w:cs="Microsoft YaHei" w:eastAsia="Microsoft YaHei" w:hAnsi="Microsoft YaHei"/>
        </w:rPr>
        <w:t xml:space="preserve">1. 项目概述与技术栈</w:t>
      </w:r>
    </w:p>
    <w:p>
      <w:pPr>
        <w:pStyle w:val="Heading2"/>
        <w:spacing w:before="280" w:after="160"/>
      </w:pPr>
      <w:r>
        <w:rPr>
          <w:rFonts w:ascii="Microsoft YaHei" w:cs="Microsoft YaHei" w:eastAsia="Microsoft YaHei" w:hAnsi="Microsoft YaHei"/>
        </w:rPr>
        <w:t xml:space="preserve">1.1 项目简介</w:t>
      </w:r>
    </w:p>
    <w:p>
      <w:pPr>
        <w:spacing w:before="60" w:after="60" w:line="276"/>
      </w:pPr>
      <w:r>
        <w:rPr>
          <w:sz w:val="21"/>
          <w:szCs w:val="21"/>
          <w:rFonts w:ascii="Microsoft YaHei" w:cs="Microsoft YaHei" w:eastAsia="Microsoft YaHei" w:hAnsi="Microsoft YaHei"/>
        </w:rPr>
        <w:t xml:space="preserve">Token Factory 是一个 AI API 网关/代理系统，聚合了 40+ 上游 AI 服务商（OpenAI、Claude、Gemini、Azure、AWS Bedrock 等），提供统一 API 接口。系统包含用户管理、计费、限流、管理后台等完整功能。</w:t>
      </w:r>
    </w:p>
    <w:p>
      <w:pPr>
        <w:pStyle w:val="Heading2"/>
        <w:spacing w:before="280" w:after="160"/>
      </w:pPr>
      <w:r>
        <w:rPr>
          <w:rFonts w:ascii="Microsoft YaHei" w:cs="Microsoft YaHei" w:eastAsia="Microsoft YaHei" w:hAnsi="Microsoft YaHei"/>
        </w:rPr>
        <w:t xml:space="preserve">1.2 技术栈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3200"/>
        <w:gridCol w:w="4506"/>
      </w:tblGrid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分层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技术</w:t>
            </w:r>
          </w:p>
        </w:tc>
        <w:tc>
          <w:tcPr>
            <w:tcW w:type="dxa" w:w="4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说明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后端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Go 1.22+</w:t>
            </w:r>
          </w:p>
        </w:tc>
        <w:tc>
          <w:tcPr>
            <w:tcW w:type="dxa" w:w="4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Gin Web 框架、GORM v2 ORM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前端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React 18 + Vite</w:t>
            </w:r>
          </w:p>
        </w:tc>
        <w:tc>
          <w:tcPr>
            <w:tcW w:type="dxa" w:w="4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Semi Design UI (@douyinfe/semi-ui)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数据库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SQLite / MySQL / PostgreSQL</w:t>
            </w:r>
          </w:p>
        </w:tc>
        <w:tc>
          <w:tcPr>
            <w:tcW w:type="dxa" w:w="4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三库兼容，GORM 抽象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缓存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Redis + 内存缓存</w:t>
            </w:r>
          </w:p>
        </w:tc>
        <w:tc>
          <w:tcPr>
            <w:tcW w:type="dxa" w:w="4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go-redis 客户端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认证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JWT / WebAuthn / OAuth</w:t>
            </w:r>
          </w:p>
        </w:tc>
        <w:tc>
          <w:tcPr>
            <w:tcW w:type="dxa" w:w="4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GitHub、Discord、OIDC 等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前端包管理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Bun</w:t>
            </w:r>
          </w:p>
        </w:tc>
        <w:tc>
          <w:tcPr>
            <w:tcW w:type="dxa" w:w="4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优先使用 bun 代替 npm/yarn/pnpm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国际化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后端 go-i18n / 前端 i18next</w:t>
            </w:r>
          </w:p>
        </w:tc>
        <w:tc>
          <w:tcPr>
            <w:tcW w:type="dxa" w:w="4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中英双语，前端额外支持法/俄/日/越南语</w:t>
            </w:r>
          </w:p>
        </w:tc>
      </w:tr>
    </w:tbl>
    <w:p>
      <w:r>
        <w:br w:type="page"/>
      </w:r>
    </w:p>
    <w:p>
      <w:pPr>
        <w:pStyle w:val="Heading1"/>
        <w:spacing w:before="360" w:after="200"/>
      </w:pPr>
      <w:r>
        <w:rPr>
          <w:rFonts w:ascii="Microsoft YaHei" w:cs="Microsoft YaHei" w:eastAsia="Microsoft YaHei" w:hAnsi="Microsoft YaHei"/>
        </w:rPr>
        <w:t xml:space="preserve">2. 系统架构总览</w:t>
      </w:r>
    </w:p>
    <w:p>
      <w:pPr>
        <w:pStyle w:val="Heading2"/>
        <w:spacing w:before="280" w:after="160"/>
      </w:pPr>
      <w:r>
        <w:rPr>
          <w:rFonts w:ascii="Microsoft YaHei" w:cs="Microsoft YaHei" w:eastAsia="Microsoft YaHei" w:hAnsi="Microsoft YaHei"/>
        </w:rPr>
        <w:t xml:space="preserve">2.1 分层架构</w:t>
      </w:r>
    </w:p>
    <w:p>
      <w:pPr>
        <w:spacing w:before="60" w:after="60" w:line="276"/>
      </w:pPr>
      <w:r>
        <w:rPr>
          <w:sz w:val="21"/>
          <w:szCs w:val="21"/>
          <w:rFonts w:ascii="Microsoft YaHei" w:cs="Microsoft YaHei" w:eastAsia="Microsoft YaHei" w:hAnsi="Microsoft YaHei"/>
        </w:rPr>
        <w:t xml:space="preserve">系统采用经典的分层架构模式：Router → Controller → Service → Model，各层职责明确：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2400"/>
        <w:gridCol w:w="5506"/>
      </w:tblGrid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层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目录</w:t>
            </w:r>
          </w:p>
        </w:tc>
        <w:tc>
          <w:tcPr>
            <w:tcW w:type="dxa" w:w="5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职责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路由层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router/</w:t>
            </w:r>
          </w:p>
        </w:tc>
        <w:tc>
          <w:tcPr>
            <w:tcW w:type="dxa" w:w="5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HTTP 路由注册，请求分发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控制器层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controller/</w:t>
            </w:r>
          </w:p>
        </w:tc>
        <w:tc>
          <w:tcPr>
            <w:tcW w:type="dxa" w:w="5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请求参数解析，调用 Service，返回响应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服务层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service/</w:t>
            </w:r>
          </w:p>
        </w:tc>
        <w:tc>
          <w:tcPr>
            <w:tcW w:type="dxa" w:w="5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核心业务逻辑处理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模型层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model/</w:t>
            </w:r>
          </w:p>
        </w:tc>
        <w:tc>
          <w:tcPr>
            <w:tcW w:type="dxa" w:w="5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数据模型定义，数据库 CRUD 操作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代理层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relay/</w:t>
            </w:r>
          </w:p>
        </w:tc>
        <w:tc>
          <w:tcPr>
            <w:tcW w:type="dxa" w:w="5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AI API 转发，上游服务商适配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中间件层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middleware/</w:t>
            </w:r>
          </w:p>
        </w:tc>
        <w:tc>
          <w:tcPr>
            <w:tcW w:type="dxa" w:w="5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认证、限流、CORS、日志、分发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配置层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setting/</w:t>
            </w:r>
          </w:p>
        </w:tc>
        <w:tc>
          <w:tcPr>
            <w:tcW w:type="dxa" w:w="5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倍率、模型、运营、系统、性能配置管理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公共工具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common/</w:t>
            </w:r>
          </w:p>
        </w:tc>
        <w:tc>
          <w:tcPr>
            <w:tcW w:type="dxa" w:w="5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JSON 序列化、加密、Redis、环境变量、限流等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数据传输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dto/</w:t>
            </w:r>
          </w:p>
        </w:tc>
        <w:tc>
          <w:tcPr>
            <w:tcW w:type="dxa" w:w="5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请求/响应数据结构体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常量定义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constant/</w:t>
            </w:r>
          </w:p>
        </w:tc>
        <w:tc>
          <w:tcPr>
            <w:tcW w:type="dxa" w:w="5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API 类型、渠道类型、上下文键常量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类型定义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types/</w:t>
            </w:r>
          </w:p>
        </w:tc>
        <w:tc>
          <w:tcPr>
            <w:tcW w:type="dxa" w:w="5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Relay 格式、文件来源、错误类型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国际化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i18n/</w:t>
            </w:r>
          </w:p>
        </w:tc>
        <w:tc>
          <w:tcPr>
            <w:tcW w:type="dxa" w:w="5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后端多语言资源（en/zh）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OAuth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oauth/</w:t>
            </w:r>
          </w:p>
        </w:tc>
        <w:tc>
          <w:tcPr>
            <w:tcW w:type="dxa" w:w="5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OAuth 第三方登录实现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内部包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pkg/</w:t>
            </w:r>
          </w:p>
        </w:tc>
        <w:tc>
          <w:tcPr>
            <w:tcW w:type="dxa" w:w="5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缓存（cachex）和网络（ionet）工具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前端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web/</w:t>
            </w:r>
          </w:p>
        </w:tc>
        <w:tc>
          <w:tcPr>
            <w:tcW w:type="dxa" w:w="5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React SPA 管理后台与用户界面</w:t>
            </w:r>
          </w:p>
        </w:tc>
      </w:tr>
    </w:tbl>
    <w:p>
      <w:pPr>
        <w:pStyle w:val="Heading2"/>
        <w:spacing w:before="280" w:after="160"/>
      </w:pPr>
      <w:r>
        <w:rPr>
          <w:rFonts w:ascii="Microsoft YaHei" w:cs="Microsoft YaHei" w:eastAsia="Microsoft YaHei" w:hAnsi="Microsoft YaHei"/>
        </w:rPr>
        <w:t xml:space="preserve">2.2 数据流</w:t>
      </w:r>
    </w:p>
    <w:p>
      <w:pPr>
        <w:spacing w:before="60" w:after="60" w:line="276"/>
      </w:pPr>
      <w:r>
        <w:rPr>
          <w:sz w:val="21"/>
          <w:szCs w:val="21"/>
          <w:rFonts w:ascii="Microsoft YaHei" w:cs="Microsoft YaHei" w:eastAsia="Microsoft YaHei" w:hAnsi="Microsoft YaHei"/>
        </w:rPr>
        <w:t xml:space="preserve">用户请求 → Gin Router → Middleware（认证/限流/日志） → Controller → Service（业务逻辑） → Model（数据访问） → 数据库</w:t>
      </w:r>
    </w:p>
    <w:p>
      <w:pPr>
        <w:spacing w:before="60" w:after="60" w:line="276"/>
      </w:pPr>
      <w:r>
        <w:rPr>
          <w:sz w:val="21"/>
          <w:szCs w:val="21"/>
          <w:rFonts w:ascii="Microsoft YaHei" w:cs="Microsoft YaHei" w:eastAsia="Microsoft YaHei" w:hAnsi="Microsoft YaHei"/>
        </w:rPr>
        <w:t xml:space="preserve">AI 代理请求 → Relay Router → Relay Handler → 分发策略选择渠道 → Channel Adapter → 上游 AI 服务 → 响应流式回传</w:t>
      </w:r>
    </w:p>
    <w:p>
      <w:r>
        <w:br w:type="page"/>
      </w:r>
    </w:p>
    <w:p>
      <w:pPr>
        <w:pStyle w:val="Heading1"/>
        <w:spacing w:before="360" w:after="200"/>
      </w:pPr>
      <w:r>
        <w:rPr>
          <w:rFonts w:ascii="Microsoft YaHei" w:cs="Microsoft YaHei" w:eastAsia="Microsoft YaHei" w:hAnsi="Microsoft YaHei"/>
        </w:rPr>
        <w:t xml:space="preserve">3. 后端路由模块（router）</w:t>
      </w:r>
    </w:p>
    <w:p>
      <w:pPr>
        <w:pStyle w:val="Heading2"/>
        <w:spacing w:before="280" w:after="160"/>
      </w:pPr>
      <w:r>
        <w:rPr>
          <w:rFonts w:ascii="Microsoft YaHei" w:cs="Microsoft YaHei" w:eastAsia="Microsoft YaHei" w:hAnsi="Microsoft YaHei"/>
        </w:rPr>
        <w:t xml:space="preserve">3.1 路由器总览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2800"/>
        <w:gridCol w:w="3906"/>
      </w:tblGrid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路由器文件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路由前缀</w:t>
            </w:r>
          </w:p>
        </w:tc>
        <w:tc>
          <w:tcPr>
            <w:tcW w:type="dxa" w:w="39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用途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router/main.go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</w:t>
            </w:r>
          </w:p>
        </w:tc>
        <w:tc>
          <w:tcPr>
            <w:tcW w:type="dxa" w:w="39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入口，组装所有子路由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router/api-router.go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/api</w:t>
            </w:r>
          </w:p>
        </w:tc>
        <w:tc>
          <w:tcPr>
            <w:tcW w:type="dxa" w:w="39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管理后台 API 路由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router/relay-router.go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/v1/chat/completions 等</w:t>
            </w:r>
          </w:p>
        </w:tc>
        <w:tc>
          <w:tcPr>
            <w:tcW w:type="dxa" w:w="39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AI API 代理转发路由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router/dashboard.go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/api/dashboard</w:t>
            </w:r>
          </w:p>
        </w:tc>
        <w:tc>
          <w:tcPr>
            <w:tcW w:type="dxa" w:w="39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数据面板统计路由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router/video-router.go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/api/video</w:t>
            </w:r>
          </w:p>
        </w:tc>
        <w:tc>
          <w:tcPr>
            <w:tcW w:type="dxa" w:w="39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视频相关路由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router/web-router.go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</w:t>
            </w:r>
          </w:p>
        </w:tc>
        <w:tc>
          <w:tcPr>
            <w:tcW w:type="dxa" w:w="39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前端静态资源与 SPA 路由</w:t>
            </w:r>
          </w:p>
        </w:tc>
      </w:tr>
    </w:tbl>
    <w:p>
      <w:pPr>
        <w:pStyle w:val="Heading2"/>
        <w:spacing w:before="280" w:after="160"/>
      </w:pPr>
      <w:r>
        <w:rPr>
          <w:rFonts w:ascii="Microsoft YaHei" w:cs="Microsoft YaHei" w:eastAsia="Microsoft YaHei" w:hAnsi="Microsoft YaHei"/>
        </w:rPr>
        <w:t xml:space="preserve">3.2 API 路由（api-router.go）详细端点</w:t>
      </w:r>
    </w:p>
    <w:p>
      <w:pPr>
        <w:pStyle w:val="Heading3"/>
        <w:spacing w:before="200" w:after="120"/>
      </w:pPr>
      <w:r>
        <w:rPr>
          <w:rFonts w:ascii="Microsoft YaHei" w:cs="Microsoft YaHei" w:eastAsia="Microsoft YaHei" w:hAnsi="Microsoft YaHei"/>
        </w:rPr>
        <w:t xml:space="preserve">用户管理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2800"/>
        <w:gridCol w:w="2400"/>
        <w:gridCol w:w="3406"/>
      </w:tblGrid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方法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路径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处理函数</w:t>
            </w:r>
          </w:p>
        </w:tc>
        <w:tc>
          <w:tcPr>
            <w:tcW w:type="dxa" w:w="34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说明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GET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/api/user/self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GetSelf</w:t>
            </w:r>
          </w:p>
        </w:tc>
        <w:tc>
          <w:tcPr>
            <w:tcW w:type="dxa" w:w="34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获取当前用户信息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PUT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/api/user/self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UpdateSelf</w:t>
            </w:r>
          </w:p>
        </w:tc>
        <w:tc>
          <w:tcPr>
            <w:tcW w:type="dxa" w:w="34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更新当前用户信息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PUT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/api/user/self/password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ChangePassword</w:t>
            </w:r>
          </w:p>
        </w:tc>
        <w:tc>
          <w:tcPr>
            <w:tcW w:type="dxa" w:w="34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修改密码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GET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/api/users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GetAllUsers</w:t>
            </w:r>
          </w:p>
        </w:tc>
        <w:tc>
          <w:tcPr>
            <w:tcW w:type="dxa" w:w="34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分页获取用户列表（管理员）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POST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/api/users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CreateUser</w:t>
            </w:r>
          </w:p>
        </w:tc>
        <w:tc>
          <w:tcPr>
            <w:tcW w:type="dxa" w:w="34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创建用户（管理员）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PUT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/api/users/:id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ManageUser</w:t>
            </w:r>
          </w:p>
        </w:tc>
        <w:tc>
          <w:tcPr>
            <w:tcW w:type="dxa" w:w="34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管理用户（管理员）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DELETE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/api/users/:id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DeleteUser</w:t>
            </w:r>
          </w:p>
        </w:tc>
        <w:tc>
          <w:tcPr>
            <w:tcW w:type="dxa" w:w="34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删除用户（管理员）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POST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/api/user/login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Login</w:t>
            </w:r>
          </w:p>
        </w:tc>
        <w:tc>
          <w:tcPr>
            <w:tcW w:type="dxa" w:w="34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用户登录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POST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/api/user/register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Register</w:t>
            </w:r>
          </w:p>
        </w:tc>
        <w:tc>
          <w:tcPr>
            <w:tcW w:type="dxa" w:w="34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用户注册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POST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/api/user/logout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Logout</w:t>
            </w:r>
          </w:p>
        </w:tc>
        <w:tc>
          <w:tcPr>
            <w:tcW w:type="dxa" w:w="34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用户登出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GET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/api/user/status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GetStatus</w:t>
            </w:r>
          </w:p>
        </w:tc>
        <w:tc>
          <w:tcPr>
            <w:tcW w:type="dxa" w:w="34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获取系统状态（公开）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POST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/api/user/reset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SendPasswordResetEmail</w:t>
            </w:r>
          </w:p>
        </w:tc>
        <w:tc>
          <w:tcPr>
            <w:tcW w:type="dxa" w:w="34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密码重置邮件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PUT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/api/user/aff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UpdateAff</w:t>
            </w:r>
          </w:p>
        </w:tc>
        <w:tc>
          <w:tcPr>
            <w:tcW w:type="dxa" w:w="34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更新推广信息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GET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/api/user/aff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GetAffInfo</w:t>
            </w:r>
          </w:p>
        </w:tc>
        <w:tc>
          <w:tcPr>
            <w:tcW w:type="dxa" w:w="34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获取推广信息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GET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/api/user/token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GenerateAccessToken</w:t>
            </w:r>
          </w:p>
        </w:tc>
        <w:tc>
          <w:tcPr>
            <w:tcW w:type="dxa" w:w="34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生成访问令牌</w:t>
            </w:r>
          </w:p>
        </w:tc>
      </w:tr>
    </w:tbl>
    <w:p>
      <w:pPr>
        <w:pStyle w:val="Heading3"/>
        <w:spacing w:before="200" w:after="120"/>
      </w:pPr>
      <w:r>
        <w:rPr>
          <w:rFonts w:ascii="Microsoft YaHei" w:cs="Microsoft YaHei" w:eastAsia="Microsoft YaHei" w:hAnsi="Microsoft YaHei"/>
        </w:rPr>
        <w:t xml:space="preserve">渠道管理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000"/>
        <w:gridCol w:w="2600"/>
        <w:gridCol w:w="3006"/>
      </w:tblGrid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方法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路径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处理函数</w:t>
            </w:r>
          </w:p>
        </w:tc>
        <w:tc>
          <w:tcPr>
            <w:tcW w:type="dxa" w:w="30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说明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GET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/api/channel/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GetAllChannels</w:t>
            </w:r>
          </w:p>
        </w:tc>
        <w:tc>
          <w:tcPr>
            <w:tcW w:type="dxa" w:w="30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获取渠道列表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POST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/api/channel/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AddChannel</w:t>
            </w:r>
          </w:p>
        </w:tc>
        <w:tc>
          <w:tcPr>
            <w:tcW w:type="dxa" w:w="30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创建渠道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PUT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/api/channel/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UpdateChannel</w:t>
            </w:r>
          </w:p>
        </w:tc>
        <w:tc>
          <w:tcPr>
            <w:tcW w:type="dxa" w:w="30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更新渠道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DELETE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/api/channel/:id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DeleteChannel</w:t>
            </w:r>
          </w:p>
        </w:tc>
        <w:tc>
          <w:tcPr>
            <w:tcW w:type="dxa" w:w="30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删除渠道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POST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/api/channel/test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TestChannel</w:t>
            </w:r>
          </w:p>
        </w:tc>
        <w:tc>
          <w:tcPr>
            <w:tcW w:type="dxa" w:w="30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测试渠道连通性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GET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/api/channel/search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SearchChannels</w:t>
            </w:r>
          </w:p>
        </w:tc>
        <w:tc>
          <w:tcPr>
            <w:tcW w:type="dxa" w:w="30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搜索渠道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POST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/api/channel/fetch/models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FetchChannelModels</w:t>
            </w:r>
          </w:p>
        </w:tc>
        <w:tc>
          <w:tcPr>
            <w:tcW w:type="dxa" w:w="30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获取渠道可用模型</w:t>
            </w:r>
          </w:p>
        </w:tc>
      </w:tr>
    </w:tbl>
    <w:p>
      <w:pPr>
        <w:pStyle w:val="Heading3"/>
        <w:spacing w:before="200" w:after="120"/>
      </w:pPr>
      <w:r>
        <w:rPr>
          <w:rFonts w:ascii="Microsoft YaHei" w:cs="Microsoft YaHei" w:eastAsia="Microsoft YaHei" w:hAnsi="Microsoft YaHei"/>
        </w:rPr>
        <w:t xml:space="preserve">令牌管理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000"/>
        <w:gridCol w:w="2600"/>
        <w:gridCol w:w="3006"/>
      </w:tblGrid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方法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路径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处理函数</w:t>
            </w:r>
          </w:p>
        </w:tc>
        <w:tc>
          <w:tcPr>
            <w:tcW w:type="dxa" w:w="30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说明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GET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/api/token/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GetAllTokens</w:t>
            </w:r>
          </w:p>
        </w:tc>
        <w:tc>
          <w:tcPr>
            <w:tcW w:type="dxa" w:w="30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获取令牌列表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POST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/api/token/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AddToken</w:t>
            </w:r>
          </w:p>
        </w:tc>
        <w:tc>
          <w:tcPr>
            <w:tcW w:type="dxa" w:w="30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创建令牌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PUT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/api/token/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UpdateToken</w:t>
            </w:r>
          </w:p>
        </w:tc>
        <w:tc>
          <w:tcPr>
            <w:tcW w:type="dxa" w:w="30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更新令牌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DELETE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/api/token/:id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DeleteToken</w:t>
            </w:r>
          </w:p>
        </w:tc>
        <w:tc>
          <w:tcPr>
            <w:tcW w:type="dxa" w:w="30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删除令牌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GET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/api/token/search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SearchTokens</w:t>
            </w:r>
          </w:p>
        </w:tc>
        <w:tc>
          <w:tcPr>
            <w:tcW w:type="dxa" w:w="30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搜索令牌</w:t>
            </w:r>
          </w:p>
        </w:tc>
      </w:tr>
    </w:tbl>
    <w:p>
      <w:pPr>
        <w:pStyle w:val="Heading3"/>
        <w:spacing w:before="200" w:after="120"/>
      </w:pPr>
      <w:r>
        <w:rPr>
          <w:rFonts w:ascii="Microsoft YaHei" w:cs="Microsoft YaHei" w:eastAsia="Microsoft YaHei" w:hAnsi="Microsoft YaHei"/>
        </w:rPr>
        <w:t xml:space="preserve">模型管理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400"/>
        <w:gridCol w:w="2400"/>
        <w:gridCol w:w="2806"/>
      </w:tblGrid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方法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路径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处理函数</w:t>
            </w:r>
          </w:p>
        </w:tc>
        <w:tc>
          <w:tcPr>
            <w:tcW w:type="dxa" w:w="28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说明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GET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/api/model/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GetAllModels</w:t>
            </w:r>
          </w:p>
        </w:tc>
        <w:tc>
          <w:tcPr>
            <w:tcW w:type="dxa" w:w="28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获取模型列表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POST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/api/model/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CreateModel</w:t>
            </w:r>
          </w:p>
        </w:tc>
        <w:tc>
          <w:tcPr>
            <w:tcW w:type="dxa" w:w="28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创建模型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PUT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/api/model/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UpdateModel</w:t>
            </w:r>
          </w:p>
        </w:tc>
        <w:tc>
          <w:tcPr>
            <w:tcW w:type="dxa" w:w="28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更新模型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DELETE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/api/model/:id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DeleteModel</w:t>
            </w:r>
          </w:p>
        </w:tc>
        <w:tc>
          <w:tcPr>
            <w:tcW w:type="dxa" w:w="28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删除模型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POST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/api/model/test/:channelId/:modelName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TestModel</w:t>
            </w:r>
          </w:p>
        </w:tc>
        <w:tc>
          <w:tcPr>
            <w:tcW w:type="dxa" w:w="28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测试模型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GET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/api/model/test/results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GetModelTestResults</w:t>
            </w:r>
          </w:p>
        </w:tc>
        <w:tc>
          <w:tcPr>
            <w:tcW w:type="dxa" w:w="28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获取测试结果</w:t>
            </w:r>
          </w:p>
        </w:tc>
      </w:tr>
    </w:tbl>
    <w:p>
      <w:pPr>
        <w:pStyle w:val="Heading3"/>
        <w:spacing w:before="200" w:after="120"/>
      </w:pPr>
      <w:r>
        <w:rPr>
          <w:rFonts w:ascii="Microsoft YaHei" w:cs="Microsoft YaHei" w:eastAsia="Microsoft YaHei" w:hAnsi="Microsoft YaHei"/>
        </w:rPr>
        <w:t xml:space="preserve">日志与计费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000"/>
        <w:gridCol w:w="2600"/>
        <w:gridCol w:w="3006"/>
      </w:tblGrid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方法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路径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处理函数</w:t>
            </w:r>
          </w:p>
        </w:tc>
        <w:tc>
          <w:tcPr>
            <w:tcW w:type="dxa" w:w="30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说明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GET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/api/log/self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GetSelfLogs</w:t>
            </w:r>
          </w:p>
        </w:tc>
        <w:tc>
          <w:tcPr>
            <w:tcW w:type="dxa" w:w="30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用户自身日志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GET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/api/logs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GetAllLogs</w:t>
            </w:r>
          </w:p>
        </w:tc>
        <w:tc>
          <w:tcPr>
            <w:tcW w:type="dxa" w:w="30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管理员查看所有日志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GET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/api/log/search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SearchAllLogs</w:t>
            </w:r>
          </w:p>
        </w:tc>
        <w:tc>
          <w:tcPr>
            <w:tcW w:type="dxa" w:w="30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搜索日志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DELETE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/api/log/:id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DeleteLog</w:t>
            </w:r>
          </w:p>
        </w:tc>
        <w:tc>
          <w:tcPr>
            <w:tcW w:type="dxa" w:w="30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删除日志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POST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/api/epay/notify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EpayNotify</w:t>
            </w:r>
          </w:p>
        </w:tc>
        <w:tc>
          <w:tcPr>
            <w:tcW w:type="dxa" w:w="30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易支付回调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POST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/api/topup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TopUp</w:t>
            </w:r>
          </w:p>
        </w:tc>
        <w:tc>
          <w:tcPr>
            <w:tcW w:type="dxa" w:w="30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充值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GET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/api/pricing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GetPricing</w:t>
            </w:r>
          </w:p>
        </w:tc>
        <w:tc>
          <w:tcPr>
            <w:tcW w:type="dxa" w:w="30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获取定价信息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GET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/api/home/content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GetHomeContent</w:t>
            </w:r>
          </w:p>
        </w:tc>
        <w:tc>
          <w:tcPr>
            <w:tcW w:type="dxa" w:w="30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获取首页内容</w:t>
            </w:r>
          </w:p>
        </w:tc>
      </w:tr>
    </w:tbl>
    <w:p>
      <w:pPr>
        <w:pStyle w:val="Heading3"/>
        <w:spacing w:before="200" w:after="120"/>
      </w:pPr>
      <w:r>
        <w:rPr>
          <w:rFonts w:ascii="Microsoft YaHei" w:cs="Microsoft YaHei" w:eastAsia="Microsoft YaHei" w:hAnsi="Microsoft YaHei"/>
        </w:rPr>
        <w:t xml:space="preserve">运营设置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000"/>
        <w:gridCol w:w="2600"/>
        <w:gridCol w:w="3006"/>
      </w:tblGrid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方法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路径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处理函数</w:t>
            </w:r>
          </w:p>
        </w:tc>
        <w:tc>
          <w:tcPr>
            <w:tcW w:type="dxa" w:w="30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说明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GET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/api/option/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GetOptions</w:t>
            </w:r>
          </w:p>
        </w:tc>
        <w:tc>
          <w:tcPr>
            <w:tcW w:type="dxa" w:w="30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获取配置选项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PUT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/api/option/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UpdateOption</w:t>
            </w:r>
          </w:p>
        </w:tc>
        <w:tc>
          <w:tcPr>
            <w:tcW w:type="dxa" w:w="30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更新配置选项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GET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/api/option/:key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GetOption</w:t>
            </w:r>
          </w:p>
        </w:tc>
        <w:tc>
          <w:tcPr>
            <w:tcW w:type="dxa" w:w="30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获取单项配置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GET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/api/config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GetConfig</w:t>
            </w:r>
          </w:p>
        </w:tc>
        <w:tc>
          <w:tcPr>
            <w:tcW w:type="dxa" w:w="30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获取系统配置</w:t>
            </w:r>
          </w:p>
        </w:tc>
      </w:tr>
    </w:tbl>
    <w:p>
      <w:pPr>
        <w:pStyle w:val="Heading3"/>
        <w:spacing w:before="200" w:after="120"/>
      </w:pPr>
      <w:r>
        <w:rPr>
          <w:rFonts w:ascii="Microsoft YaHei" w:cs="Microsoft YaHei" w:eastAsia="Microsoft YaHei" w:hAnsi="Microsoft YaHei"/>
        </w:rPr>
        <w:t xml:space="preserve">Redemption 兑换码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200"/>
        <w:gridCol w:w="2600"/>
        <w:gridCol w:w="2806"/>
      </w:tblGrid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方法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路径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处理函数</w:t>
            </w:r>
          </w:p>
        </w:tc>
        <w:tc>
          <w:tcPr>
            <w:tcW w:type="dxa" w:w="28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说明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GET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/api/redemption/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GetAllRedemptions</w:t>
            </w:r>
          </w:p>
        </w:tc>
        <w:tc>
          <w:tcPr>
            <w:tcW w:type="dxa" w:w="28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获取兑换码列表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POST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/api/redemption/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AddRedemption</w:t>
            </w:r>
          </w:p>
        </w:tc>
        <w:tc>
          <w:tcPr>
            <w:tcW w:type="dxa" w:w="28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创建兑换码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PUT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/api/redemption/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UpdateRedemption</w:t>
            </w:r>
          </w:p>
        </w:tc>
        <w:tc>
          <w:tcPr>
            <w:tcW w:type="dxa" w:w="28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更新兑换码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DELETE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/api/redemption/:id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DeleteRedemption</w:t>
            </w:r>
          </w:p>
        </w:tc>
        <w:tc>
          <w:tcPr>
            <w:tcW w:type="dxa" w:w="28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删除兑换码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POST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/api/redemption/verify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VerifyRedemption</w:t>
            </w:r>
          </w:p>
        </w:tc>
        <w:tc>
          <w:tcPr>
            <w:tcW w:type="dxa" w:w="28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验证兑换码</w:t>
            </w:r>
          </w:p>
        </w:tc>
      </w:tr>
    </w:tbl>
    <w:p>
      <w:pPr>
        <w:pStyle w:val="Heading3"/>
        <w:spacing w:before="200" w:after="120"/>
      </w:pPr>
      <w:r>
        <w:rPr>
          <w:rFonts w:ascii="Microsoft YaHei" w:cs="Microsoft YaHei" w:eastAsia="Microsoft YaHei" w:hAnsi="Microsoft YaHei"/>
        </w:rPr>
        <w:t xml:space="preserve">其他功能接口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400"/>
        <w:gridCol w:w="2600"/>
        <w:gridCol w:w="2606"/>
      </w:tblGrid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方法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路径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处理函数</w:t>
            </w:r>
          </w:p>
        </w:tc>
        <w:tc>
          <w:tcPr>
            <w:tcW w:type="dxa" w:w="26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说明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GET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/api/oauth/:type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OAuthLogin</w:t>
            </w:r>
          </w:p>
        </w:tc>
        <w:tc>
          <w:tcPr>
            <w:tcW w:type="dxa" w:w="26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OAuth 登录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GET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/api/oauth/:type/callback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OAuthCallback</w:t>
            </w:r>
          </w:p>
        </w:tc>
        <w:tc>
          <w:tcPr>
            <w:tcW w:type="dxa" w:w="26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OAuth 回调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POST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/api/webauthn/register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BeginWebAuthnReg</w:t>
            </w:r>
          </w:p>
        </w:tc>
        <w:tc>
          <w:tcPr>
            <w:tcW w:type="dxa" w:w="26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WebAuthn 注册开始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POST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/api/webauthn/register/finish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FinishWebAuthnReg</w:t>
            </w:r>
          </w:p>
        </w:tc>
        <w:tc>
          <w:tcPr>
            <w:tcW w:type="dxa" w:w="26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WebAuthn 注册完成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POST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/api/webauthn/login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BeginWebAuthnLogin</w:t>
            </w:r>
          </w:p>
        </w:tc>
        <w:tc>
          <w:tcPr>
            <w:tcW w:type="dxa" w:w="26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WebAuthn 登录开始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POST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/api/webauthn/login/finish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FinishWebAuthnLogin</w:t>
            </w:r>
          </w:p>
        </w:tc>
        <w:tc>
          <w:tcPr>
            <w:tcW w:type="dxa" w:w="26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WebAuthn 登录完成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GET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/api/chat/index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ChatIndex</w:t>
            </w:r>
          </w:p>
        </w:tc>
        <w:tc>
          <w:tcPr>
            <w:tcW w:type="dxa" w:w="26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聊天首页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POST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/api/upload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Upload</w:t>
            </w:r>
          </w:p>
        </w:tc>
        <w:tc>
          <w:tcPr>
            <w:tcW w:type="dxa" w:w="26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文件上传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GET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/api/supplier/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GetAllSuppliers</w:t>
            </w:r>
          </w:p>
        </w:tc>
        <w:tc>
          <w:tcPr>
            <w:tcW w:type="dxa" w:w="26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获取供应商列表</w:t>
            </w:r>
          </w:p>
        </w:tc>
      </w:tr>
    </w:tbl>
    <w:p>
      <w:pPr>
        <w:pStyle w:val="Heading2"/>
        <w:spacing w:before="280" w:after="160"/>
      </w:pPr>
      <w:r>
        <w:rPr>
          <w:rFonts w:ascii="Microsoft YaHei" w:cs="Microsoft YaHei" w:eastAsia="Microsoft YaHei" w:hAnsi="Microsoft YaHei"/>
        </w:rPr>
        <w:t xml:space="preserve">3.3 Relay 路由（relay-router.go）</w:t>
      </w:r>
    </w:p>
    <w:p>
      <w:pPr>
        <w:spacing w:before="60" w:after="60" w:line="276"/>
      </w:pPr>
      <w:r>
        <w:rPr>
          <w:sz w:val="21"/>
          <w:szCs w:val="21"/>
          <w:rFonts w:ascii="Microsoft YaHei" w:cs="Microsoft YaHei" w:eastAsia="Microsoft YaHei" w:hAnsi="Microsoft YaHei"/>
        </w:rPr>
        <w:t xml:space="preserve">Relay 路由处理所有 AI API 代理转发请求，采用统一的 /v1 前缀兼容 OpenAI API 格式。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2400"/>
        <w:gridCol w:w="2606"/>
      </w:tblGrid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方法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路径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处理函数</w:t>
            </w:r>
          </w:p>
        </w:tc>
        <w:tc>
          <w:tcPr>
            <w:tcW w:type="dxa" w:w="26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说明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POST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/v1/chat/completions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Relay</w:t>
            </w:r>
          </w:p>
        </w:tc>
        <w:tc>
          <w:tcPr>
            <w:tcW w:type="dxa" w:w="26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聊天补全（核心接口）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POST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/v1/completions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Relay</w:t>
            </w:r>
          </w:p>
        </w:tc>
        <w:tc>
          <w:tcPr>
            <w:tcW w:type="dxa" w:w="26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文本补全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POST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/v1/images/generations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RelayImage2</w:t>
            </w:r>
          </w:p>
        </w:tc>
        <w:tc>
          <w:tcPr>
            <w:tcW w:type="dxa" w:w="26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图片生成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POST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/v1/images/edits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RelayImage2</w:t>
            </w:r>
          </w:p>
        </w:tc>
        <w:tc>
          <w:tcPr>
            <w:tcW w:type="dxa" w:w="26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图片编辑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POST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/v1/images/variations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RelayImage2</w:t>
            </w:r>
          </w:p>
        </w:tc>
        <w:tc>
          <w:tcPr>
            <w:tcW w:type="dxa" w:w="26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图片变体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POST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/v1/embeddings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RelayEmbeddings</w:t>
            </w:r>
          </w:p>
        </w:tc>
        <w:tc>
          <w:tcPr>
            <w:tcW w:type="dxa" w:w="26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文本嵌入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POST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/v1/audio/transcriptions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RelayAudio</w:t>
            </w:r>
          </w:p>
        </w:tc>
        <w:tc>
          <w:tcPr>
            <w:tcW w:type="dxa" w:w="26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音频转文字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POST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/v1/audio/translations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RelayAudio</w:t>
            </w:r>
          </w:p>
        </w:tc>
        <w:tc>
          <w:tcPr>
            <w:tcW w:type="dxa" w:w="26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音频翻译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POST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/v1/audio/speech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RelayAudioSpeech</w:t>
            </w:r>
          </w:p>
        </w:tc>
        <w:tc>
          <w:tcPr>
            <w:tcW w:type="dxa" w:w="26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文字转语音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POST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/v1/moderations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RelayModerations</w:t>
            </w:r>
          </w:p>
        </w:tc>
        <w:tc>
          <w:tcPr>
            <w:tcW w:type="dxa" w:w="26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内容审核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GET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/v1/models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RelayModels</w:t>
            </w:r>
          </w:p>
        </w:tc>
        <w:tc>
          <w:tcPr>
            <w:tcW w:type="dxa" w:w="26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获取可用模型列表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POST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/v1/files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RelayFile</w:t>
            </w:r>
          </w:p>
        </w:tc>
        <w:tc>
          <w:tcPr>
            <w:tcW w:type="dxa" w:w="26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文件管理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POST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/v1/rerank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RelayRerank</w:t>
            </w:r>
          </w:p>
        </w:tc>
        <w:tc>
          <w:tcPr>
            <w:tcW w:type="dxa" w:w="26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重排序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POST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/v1/responses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Relay</w:t>
            </w:r>
          </w:p>
        </w:tc>
        <w:tc>
          <w:tcPr>
            <w:tcW w:type="dxa" w:w="26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Responses API</w:t>
            </w:r>
          </w:p>
        </w:tc>
      </w:tr>
    </w:tbl>
    <w:p>
      <w:r>
        <w:br w:type="page"/>
      </w:r>
    </w:p>
    <w:p>
      <w:pPr>
        <w:pStyle w:val="Heading1"/>
        <w:spacing w:before="360" w:after="200"/>
      </w:pPr>
      <w:r>
        <w:rPr>
          <w:rFonts w:ascii="Microsoft YaHei" w:cs="Microsoft YaHei" w:eastAsia="Microsoft YaHei" w:hAnsi="Microsoft YaHei"/>
        </w:rPr>
        <w:t xml:space="preserve">4. 控制器层（controller）</w:t>
      </w:r>
    </w:p>
    <w:p>
      <w:pPr>
        <w:spacing w:before="60" w:after="60" w:line="276"/>
      </w:pPr>
      <w:r>
        <w:rPr>
          <w:sz w:val="21"/>
          <w:szCs w:val="21"/>
          <w:rFonts w:ascii="Microsoft YaHei" w:cs="Microsoft YaHei" w:eastAsia="Microsoft YaHei" w:hAnsi="Microsoft YaHei"/>
        </w:rPr>
        <w:t xml:space="preserve">controller 目录包含 70+ 个处理器文件，每个文件对应一个功能模块。以下列出核心控制器：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3600"/>
        <w:gridCol w:w="3706"/>
      </w:tblGrid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控制器文件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核心函数</w:t>
            </w:r>
          </w:p>
        </w:tc>
        <w:tc>
          <w:tcPr>
            <w:tcW w:type="dxa" w:w="37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功能说明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user.go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Login/Register/GetSelf/UpdateSelf</w:t>
            </w:r>
          </w:p>
        </w:tc>
        <w:tc>
          <w:tcPr>
            <w:tcW w:type="dxa" w:w="37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用户登录注册、个人信息管理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channel.go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AddChannel/UpdateChannel/DeleteChannel</w:t>
            </w:r>
          </w:p>
        </w:tc>
        <w:tc>
          <w:tcPr>
            <w:tcW w:type="dxa" w:w="37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AI 渠道 CRUD 管理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token.go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AddToken/UpdateToken/DeleteToken</w:t>
            </w:r>
          </w:p>
        </w:tc>
        <w:tc>
          <w:tcPr>
            <w:tcW w:type="dxa" w:w="37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API 令牌管理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model.go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CreateModel/UpdateModel/DeleteModel</w:t>
            </w:r>
          </w:p>
        </w:tc>
        <w:tc>
          <w:tcPr>
            <w:tcW w:type="dxa" w:w="37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模型管理（含测试）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log.go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GetAllLogs/GetSelfLogs/SearchAllLogs</w:t>
            </w:r>
          </w:p>
        </w:tc>
        <w:tc>
          <w:tcPr>
            <w:tcW w:type="dxa" w:w="37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请求日志查询与分析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pricing.go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GetPricing/GetHomeContent</w:t>
            </w:r>
          </w:p>
        </w:tc>
        <w:tc>
          <w:tcPr>
            <w:tcW w:type="dxa" w:w="37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模型定价与首页展示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redemption.go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AddRedemption/VerifyRedemption</w:t>
            </w:r>
          </w:p>
        </w:tc>
        <w:tc>
          <w:tcPr>
            <w:tcW w:type="dxa" w:w="37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兑换码创建与验证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topup.go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TopUp</w:t>
            </w:r>
          </w:p>
        </w:tc>
        <w:tc>
          <w:tcPr>
            <w:tcW w:type="dxa" w:w="37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用户充值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epay.go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EpayNotify</w:t>
            </w:r>
          </w:p>
        </w:tc>
        <w:tc>
          <w:tcPr>
            <w:tcW w:type="dxa" w:w="37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易支付回调处理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oauth.go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OAuthLogin/OAuthCallback</w:t>
            </w:r>
          </w:p>
        </w:tc>
        <w:tc>
          <w:tcPr>
            <w:tcW w:type="dxa" w:w="37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第三方 OAuth 登录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webauthn.go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BeginWebAuthnReg/FinishWebAuthnReg</w:t>
            </w:r>
          </w:p>
        </w:tc>
        <w:tc>
          <w:tcPr>
            <w:tcW w:type="dxa" w:w="37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WebAuthn Passkey 登录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file.go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Upload</w:t>
            </w:r>
          </w:p>
        </w:tc>
        <w:tc>
          <w:tcPr>
            <w:tcW w:type="dxa" w:w="37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文件上传处理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chat.go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ChatIndex</w:t>
            </w:r>
          </w:p>
        </w:tc>
        <w:tc>
          <w:tcPr>
            <w:tcW w:type="dxa" w:w="37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聊天页面数据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dashboard.go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GetDashboardStatistics</w:t>
            </w:r>
          </w:p>
        </w:tc>
        <w:tc>
          <w:tcPr>
            <w:tcW w:type="dxa" w:w="37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管理面板统计数据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option.go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GetOptions/UpdateOption</w:t>
            </w:r>
          </w:p>
        </w:tc>
        <w:tc>
          <w:tcPr>
            <w:tcW w:type="dxa" w:w="37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系统配置读写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supplier.go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GetAllSuppliers</w:t>
            </w:r>
          </w:p>
        </w:tc>
        <w:tc>
          <w:tcPr>
            <w:tcW w:type="dxa" w:w="37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供应商列表</w:t>
            </w:r>
          </w:p>
        </w:tc>
      </w:tr>
    </w:tbl>
    <w:p>
      <w:r>
        <w:br w:type="page"/>
      </w:r>
    </w:p>
    <w:p>
      <w:pPr>
        <w:pStyle w:val="Heading1"/>
        <w:spacing w:before="360" w:after="200"/>
      </w:pPr>
      <w:r>
        <w:rPr>
          <w:rFonts w:ascii="Microsoft YaHei" w:cs="Microsoft YaHei" w:eastAsia="Microsoft YaHei" w:hAnsi="Microsoft YaHei"/>
        </w:rPr>
        <w:t xml:space="preserve">5. 数据模型层（model）</w:t>
      </w:r>
    </w:p>
    <w:p>
      <w:pPr>
        <w:pStyle w:val="Heading2"/>
        <w:spacing w:before="280" w:after="160"/>
      </w:pPr>
      <w:r>
        <w:rPr>
          <w:rFonts w:ascii="Microsoft YaHei" w:cs="Microsoft YaHei" w:eastAsia="Microsoft YaHei" w:hAnsi="Microsoft YaHei"/>
        </w:rPr>
        <w:t xml:space="preserve">5.1 核心数据模型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2200"/>
        <w:gridCol w:w="2400"/>
        <w:gridCol w:w="2706"/>
      </w:tblGrid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模型文件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结构体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数据库表</w:t>
            </w:r>
          </w:p>
        </w:tc>
        <w:tc>
          <w:tcPr>
            <w:tcW w:type="dxa" w:w="27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用途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user.go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User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users</w:t>
            </w:r>
          </w:p>
        </w:tc>
        <w:tc>
          <w:tcPr>
            <w:tcW w:type="dxa" w:w="27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用户账户信息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channel.go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Channel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channels</w:t>
            </w:r>
          </w:p>
        </w:tc>
        <w:tc>
          <w:tcPr>
            <w:tcW w:type="dxa" w:w="27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AI 渠道配置（密钥、模型列表）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token.go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Token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tokens</w:t>
            </w:r>
          </w:p>
        </w:tc>
        <w:tc>
          <w:tcPr>
            <w:tcW w:type="dxa" w:w="27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API 访问令牌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ability.go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Ability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abilities</w:t>
            </w:r>
          </w:p>
        </w:tc>
        <w:tc>
          <w:tcPr>
            <w:tcW w:type="dxa" w:w="27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渠道-模型绑定关系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log.go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Log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logs</w:t>
            </w:r>
          </w:p>
        </w:tc>
        <w:tc>
          <w:tcPr>
            <w:tcW w:type="dxa" w:w="27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请求日志与计费记录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redemption.go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Redemption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redemptions</w:t>
            </w:r>
          </w:p>
        </w:tc>
        <w:tc>
          <w:tcPr>
            <w:tcW w:type="dxa" w:w="27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兑换码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topup.go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TopUp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top_ups</w:t>
            </w:r>
          </w:p>
        </w:tc>
        <w:tc>
          <w:tcPr>
            <w:tcW w:type="dxa" w:w="27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充值记录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model.go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Model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models</w:t>
            </w:r>
          </w:p>
        </w:tc>
        <w:tc>
          <w:tcPr>
            <w:tcW w:type="dxa" w:w="27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模型定义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model_tag.go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ModelTag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model_tags</w:t>
            </w:r>
          </w:p>
        </w:tc>
        <w:tc>
          <w:tcPr>
            <w:tcW w:type="dxa" w:w="27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模型标签分类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model_test_result.go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ModelTestResult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model_test_results</w:t>
            </w:r>
          </w:p>
        </w:tc>
        <w:tc>
          <w:tcPr>
            <w:tcW w:type="dxa" w:w="27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模型测试结果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pricing.go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Pricing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pricings</w:t>
            </w:r>
          </w:p>
        </w:tc>
        <w:tc>
          <w:tcPr>
            <w:tcW w:type="dxa" w:w="27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定价规则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config.go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Config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configs</w:t>
            </w:r>
          </w:p>
        </w:tc>
        <w:tc>
          <w:tcPr>
            <w:tcW w:type="dxa" w:w="27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系统配置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banner.go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Banner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banners</w:t>
            </w:r>
          </w:p>
        </w:tc>
        <w:tc>
          <w:tcPr>
            <w:tcW w:type="dxa" w:w="27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轮播图/广告位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file.go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File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files</w:t>
            </w:r>
          </w:p>
        </w:tc>
        <w:tc>
          <w:tcPr>
            <w:tcW w:type="dxa" w:w="27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文件存储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notification.go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Notification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notifications</w:t>
            </w:r>
          </w:p>
        </w:tc>
        <w:tc>
          <w:tcPr>
            <w:tcW w:type="dxa" w:w="27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通知消息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oauth.go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OAuth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oauths</w:t>
            </w:r>
          </w:p>
        </w:tc>
        <w:tc>
          <w:tcPr>
            <w:tcW w:type="dxa" w:w="27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OAuth 绑定记录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passkey.go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Passkey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passkeys</w:t>
            </w:r>
          </w:p>
        </w:tc>
        <w:tc>
          <w:tcPr>
            <w:tcW w:type="dxa" w:w="27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WebAuthn Passkey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aff.go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Aff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affs</w:t>
            </w:r>
          </w:p>
        </w:tc>
        <w:tc>
          <w:tcPr>
            <w:tcW w:type="dxa" w:w="27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推广/邀请关系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quota.go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Quota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quotas</w:t>
            </w:r>
          </w:p>
        </w:tc>
        <w:tc>
          <w:tcPr>
            <w:tcW w:type="dxa" w:w="27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用户额度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supplier.go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Supplier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suppliers</w:t>
            </w:r>
          </w:p>
        </w:tc>
        <w:tc>
          <w:tcPr>
            <w:tcW w:type="dxa" w:w="27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供应商信息</w:t>
            </w:r>
          </w:p>
        </w:tc>
      </w:tr>
    </w:tbl>
    <w:p>
      <w:pPr>
        <w:pStyle w:val="Heading2"/>
        <w:spacing w:before="280" w:after="160"/>
      </w:pPr>
      <w:r>
        <w:rPr>
          <w:rFonts w:ascii="Microsoft YaHei" w:cs="Microsoft YaHei" w:eastAsia="Microsoft YaHei" w:hAnsi="Microsoft YaHei"/>
        </w:rPr>
        <w:t xml:space="preserve">5.2 模型层关键函数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00"/>
        <w:gridCol w:w="2400"/>
        <w:gridCol w:w="2906"/>
      </w:tblGrid>
      <w:tr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函数名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所在文件</w:t>
            </w:r>
          </w:p>
        </w:tc>
        <w:tc>
          <w:tcPr>
            <w:tcW w:type="dxa" w:w="29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说明</w:t>
            </w:r>
          </w:p>
        </w:tc>
      </w:tr>
      <w:tr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InitDB()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main.go</w:t>
            </w:r>
          </w:p>
        </w:tc>
        <w:tc>
          <w:tcPr>
            <w:tcW w:type="dxa" w:w="29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数据库初始化、自动迁移</w:t>
            </w:r>
          </w:p>
        </w:tc>
      </w:tr>
      <w:tr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LoadChannelPricingTestSuccessIndex()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pricing.go</w:t>
            </w:r>
          </w:p>
        </w:tc>
        <w:tc>
          <w:tcPr>
            <w:tcW w:type="dxa" w:w="29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加载渠道测试成功索引</w:t>
            </w:r>
          </w:p>
        </w:tc>
      </w:tr>
      <w:tr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BuildPricingAPIItems()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pricing.go</w:t>
            </w:r>
          </w:p>
        </w:tc>
        <w:tc>
          <w:tcPr>
            <w:tcW w:type="dxa" w:w="29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构建定价 API 数据（核心）</w:t>
            </w:r>
          </w:p>
        </w:tc>
      </w:tr>
      <w:tr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GetModelTestResultsByModelNameAndChannelIDs()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model_test_result.go</w:t>
            </w:r>
          </w:p>
        </w:tc>
        <w:tc>
          <w:tcPr>
            <w:tcW w:type="dxa" w:w="29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按模型和渠道查测试结果</w:t>
            </w:r>
          </w:p>
        </w:tc>
      </w:tr>
      <w:tr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GetRandomSatisfiedChannel()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channel.go</w:t>
            </w:r>
          </w:p>
        </w:tc>
        <w:tc>
          <w:tcPr>
            <w:tcW w:type="dxa" w:w="29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分发策略：随机选可用渠道</w:t>
            </w:r>
          </w:p>
        </w:tc>
      </w:tr>
      <w:tr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GetAllChannels()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channel.go</w:t>
            </w:r>
          </w:p>
        </w:tc>
        <w:tc>
          <w:tcPr>
            <w:tcW w:type="dxa" w:w="29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获取所有渠道列表</w:t>
            </w:r>
          </w:p>
        </w:tc>
      </w:tr>
      <w:tr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LoadAbilitiesFromDB()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ability.go</w:t>
            </w:r>
          </w:p>
        </w:tc>
        <w:tc>
          <w:tcPr>
            <w:tcW w:type="dxa" w:w="29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加载渠道-模型绑定</w:t>
            </w:r>
          </w:p>
        </w:tc>
      </w:tr>
      <w:tr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RecordLog()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log.go</w:t>
            </w:r>
          </w:p>
        </w:tc>
        <w:tc>
          <w:tcPr>
            <w:tcW w:type="dxa" w:w="29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记录请求日志</w:t>
            </w:r>
          </w:p>
        </w:tc>
      </w:tr>
    </w:tbl>
    <w:p>
      <w:r>
        <w:br w:type="page"/>
      </w:r>
    </w:p>
    <w:p>
      <w:pPr>
        <w:pStyle w:val="Heading1"/>
        <w:spacing w:before="360" w:after="200"/>
      </w:pPr>
      <w:r>
        <w:rPr>
          <w:rFonts w:ascii="Microsoft YaHei" w:cs="Microsoft YaHei" w:eastAsia="Microsoft YaHei" w:hAnsi="Microsoft YaHei"/>
        </w:rPr>
        <w:t xml:space="preserve">6. Relay 代理转发模块</w:t>
      </w:r>
    </w:p>
    <w:p>
      <w:pPr>
        <w:pStyle w:val="Heading2"/>
        <w:spacing w:before="280" w:after="160"/>
      </w:pPr>
      <w:r>
        <w:rPr>
          <w:rFonts w:ascii="Microsoft YaHei" w:cs="Microsoft YaHei" w:eastAsia="Microsoft YaHei" w:hAnsi="Microsoft YaHei"/>
        </w:rPr>
        <w:t xml:space="preserve">6.1 Relay 架构</w:t>
      </w:r>
    </w:p>
    <w:p>
      <w:pPr>
        <w:spacing w:before="60" w:after="60" w:line="276"/>
      </w:pPr>
      <w:r>
        <w:rPr>
          <w:sz w:val="21"/>
          <w:szCs w:val="21"/>
          <w:rFonts w:ascii="Microsoft YaHei" w:cs="Microsoft YaHei" w:eastAsia="Microsoft YaHei" w:hAnsi="Microsoft YaHei"/>
        </w:rPr>
        <w:t xml:space="preserve">Relay 模块是系统的核心，负责接收统一格式的 AI API 请求，通过分发策略选择合适的上游渠道，适配不同服务商的 API 差异，并将结果（支持 SSE 流式）返回给客户端。</w:t>
      </w:r>
    </w:p>
    <w:p>
      <w:pPr>
        <w:spacing w:before="60" w:after="60" w:line="276"/>
      </w:pPr>
      <w:r>
        <w:rPr>
          <w:sz w:val="21"/>
          <w:szCs w:val="21"/>
          <w:rFonts w:ascii="Microsoft YaHei" w:cs="Microsoft YaHei" w:eastAsia="Microsoft YaHei" w:hAnsi="Microsoft YaHei"/>
        </w:rPr>
        <w:t xml:space="preserve">请求流程：Client → Relay Handler → 分发策略（负载均衡/权重/优先级） → Channel Adapter → Upstream AI Service → Response（流式/非流式）</w:t>
      </w:r>
    </w:p>
    <w:p>
      <w:pPr>
        <w:pStyle w:val="Heading2"/>
        <w:spacing w:before="280" w:after="160"/>
      </w:pPr>
      <w:r>
        <w:rPr>
          <w:rFonts w:ascii="Microsoft YaHei" w:cs="Microsoft YaHei" w:eastAsia="Microsoft YaHei" w:hAnsi="Microsoft YaHei"/>
        </w:rPr>
        <w:t xml:space="preserve">6.2 渠道适配器列表</w:t>
      </w:r>
    </w:p>
    <w:p>
      <w:pPr>
        <w:spacing w:before="60" w:after="60" w:line="276"/>
      </w:pPr>
      <w:r>
        <w:rPr>
          <w:sz w:val="21"/>
          <w:szCs w:val="21"/>
          <w:rFonts w:ascii="Microsoft YaHei" w:cs="Microsoft YaHei" w:eastAsia="Microsoft YaHei" w:hAnsi="Microsoft YaHei"/>
        </w:rPr>
        <w:t xml:space="preserve">relay/channel/ 目录下包含 40+ 个上游 AI 服务商适配器：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2800"/>
        <w:gridCol w:w="4506"/>
      </w:tblGrid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适配器目录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服务商</w:t>
            </w:r>
          </w:p>
        </w:tc>
        <w:tc>
          <w:tcPr>
            <w:tcW w:type="dxa" w:w="4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说明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openai/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OpenAI</w:t>
            </w:r>
          </w:p>
        </w:tc>
        <w:tc>
          <w:tcPr>
            <w:tcW w:type="dxa" w:w="4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GPT 系列模型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claude/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Anthropic Claude</w:t>
            </w:r>
          </w:p>
        </w:tc>
        <w:tc>
          <w:tcPr>
            <w:tcW w:type="dxa" w:w="4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Claude 系列模型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gemini/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Google Gemini</w:t>
            </w:r>
          </w:p>
        </w:tc>
        <w:tc>
          <w:tcPr>
            <w:tcW w:type="dxa" w:w="4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Gemini 系列模型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azure/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Azure OpenAI</w:t>
            </w:r>
          </w:p>
        </w:tc>
        <w:tc>
          <w:tcPr>
            <w:tcW w:type="dxa" w:w="4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Azure 托管的 OpenAI 服务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aws/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AWS Bedrock</w:t>
            </w:r>
          </w:p>
        </w:tc>
        <w:tc>
          <w:tcPr>
            <w:tcW w:type="dxa" w:w="4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Amazon Bedrock AI 服务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ali/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阿里云百炼</w:t>
            </w:r>
          </w:p>
        </w:tc>
        <w:tc>
          <w:tcPr>
            <w:tcW w:type="dxa" w:w="4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通义千问系列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baidu/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百度文心一言</w:t>
            </w:r>
          </w:p>
        </w:tc>
        <w:tc>
          <w:tcPr>
            <w:tcW w:type="dxa" w:w="4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文心系列模型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bytedance/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字节豆包</w:t>
            </w:r>
          </w:p>
        </w:tc>
        <w:tc>
          <w:tcPr>
            <w:tcW w:type="dxa" w:w="4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豆包系列模型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tencent/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腾讯混元</w:t>
            </w:r>
          </w:p>
        </w:tc>
        <w:tc>
          <w:tcPr>
            <w:tcW w:type="dxa" w:w="4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混元系列模型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zhipu/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智谱AI</w:t>
            </w:r>
          </w:p>
        </w:tc>
        <w:tc>
          <w:tcPr>
            <w:tcW w:type="dxa" w:w="4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GLM 系列模型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moonshot/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Moonshot/Kimi</w:t>
            </w:r>
          </w:p>
        </w:tc>
        <w:tc>
          <w:tcPr>
            <w:tcW w:type="dxa" w:w="4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月之暗面 Kimi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deepseek/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DeepSeek</w:t>
            </w:r>
          </w:p>
        </w:tc>
        <w:tc>
          <w:tcPr>
            <w:tcW w:type="dxa" w:w="4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DeepSeek 系列模型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yi/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零一万物</w:t>
            </w:r>
          </w:p>
        </w:tc>
        <w:tc>
          <w:tcPr>
            <w:tcW w:type="dxa" w:w="4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Yi 系列模型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baichuan/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百川智能</w:t>
            </w:r>
          </w:p>
        </w:tc>
        <w:tc>
          <w:tcPr>
            <w:tcW w:type="dxa" w:w="4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百川系列模型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minimax/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MiniMax</w:t>
            </w:r>
          </w:p>
        </w:tc>
        <w:tc>
          <w:tcPr>
            <w:tcW w:type="dxa" w:w="4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MiniMax 模型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cohere/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Cohere</w:t>
            </w:r>
          </w:p>
        </w:tc>
        <w:tc>
          <w:tcPr>
            <w:tcW w:type="dxa" w:w="4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Command 系列模型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mistral/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Mistral AI</w:t>
            </w:r>
          </w:p>
        </w:tc>
        <w:tc>
          <w:tcPr>
            <w:tcW w:type="dxa" w:w="4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Mistral 系列模型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coze/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Coze</w:t>
            </w:r>
          </w:p>
        </w:tc>
        <w:tc>
          <w:tcPr>
            <w:tcW w:type="dxa" w:w="4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扣子 AI 平台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stepfun/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阶跃星辰</w:t>
            </w:r>
          </w:p>
        </w:tc>
        <w:tc>
          <w:tcPr>
            <w:tcW w:type="dxa" w:w="4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Step 系列模型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doubao/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豆包（火山引擎）</w:t>
            </w:r>
          </w:p>
        </w:tc>
        <w:tc>
          <w:tcPr>
            <w:tcW w:type="dxa" w:w="4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火山引擎豆包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glm/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智谱 GLM</w:t>
            </w:r>
          </w:p>
        </w:tc>
        <w:tc>
          <w:tcPr>
            <w:tcW w:type="dxa" w:w="4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GLM-4 系列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spark/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科大讯飞星火</w:t>
            </w:r>
          </w:p>
        </w:tc>
        <w:tc>
          <w:tcPr>
            <w:tcW w:type="dxa" w:w="4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Spark 系列模型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hunyuan/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腾讯混元</w:t>
            </w:r>
          </w:p>
        </w:tc>
        <w:tc>
          <w:tcPr>
            <w:tcW w:type="dxa" w:w="4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hunyuan-turbo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lingyiwanwu/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零一万物</w:t>
            </w:r>
          </w:p>
        </w:tc>
        <w:tc>
          <w:tcPr>
            <w:tcW w:type="dxa" w:w="4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零一万物接口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siliconflow/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SiliconFlow</w:t>
            </w:r>
          </w:p>
        </w:tc>
        <w:tc>
          <w:tcPr>
            <w:tcW w:type="dxa" w:w="4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硅基流动平台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novita/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Novita AI</w:t>
            </w:r>
          </w:p>
        </w:tc>
        <w:tc>
          <w:tcPr>
            <w:tcW w:type="dxa" w:w="4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Novita AI 平台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together/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Together AI</w:t>
            </w:r>
          </w:p>
        </w:tc>
        <w:tc>
          <w:tcPr>
            <w:tcW w:type="dxa" w:w="4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Together AI 平台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xai/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xAI</w:t>
            </w:r>
          </w:p>
        </w:tc>
        <w:tc>
          <w:tcPr>
            <w:tcW w:type="dxa" w:w="4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Grok 系列模型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jina/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Jina AI</w:t>
            </w:r>
          </w:p>
        </w:tc>
        <w:tc>
          <w:tcPr>
            <w:tcW w:type="dxa" w:w="4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Embedding/Rerank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voyage/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Voyage AI</w:t>
            </w:r>
          </w:p>
        </w:tc>
        <w:tc>
          <w:tcPr>
            <w:tcW w:type="dxa" w:w="4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Embedding 服务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nomic/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Nomic AI</w:t>
            </w:r>
          </w:p>
        </w:tc>
        <w:tc>
          <w:tcPr>
            <w:tcW w:type="dxa" w:w="4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Embedding 服务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deepbricks/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DeepBricks</w:t>
            </w:r>
          </w:p>
        </w:tc>
        <w:tc>
          <w:tcPr>
            <w:tcW w:type="dxa" w:w="4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AI 服务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github/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GitHub Models</w:t>
            </w:r>
          </w:p>
        </w:tc>
        <w:tc>
          <w:tcPr>
            <w:tcW w:type="dxa" w:w="4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GitHub AI 模型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cloudflare/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Cloudflare Workers AI</w:t>
            </w:r>
          </w:p>
        </w:tc>
        <w:tc>
          <w:tcPr>
            <w:tcW w:type="dxa" w:w="4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Cloudflare AI 推理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samba/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SambaNova</w:t>
            </w:r>
          </w:p>
        </w:tc>
        <w:tc>
          <w:tcPr>
            <w:tcW w:type="dxa" w:w="4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SambaNova AI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cerebras/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Cerebras</w:t>
            </w:r>
          </w:p>
        </w:tc>
        <w:tc>
          <w:tcPr>
            <w:tcW w:type="dxa" w:w="4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Cerebras 推理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dmxapi/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DMXAPI</w:t>
            </w:r>
          </w:p>
        </w:tc>
        <w:tc>
          <w:tcPr>
            <w:tcW w:type="dxa" w:w="4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第三方聚合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99api/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99API</w:t>
            </w:r>
          </w:p>
        </w:tc>
        <w:tc>
          <w:tcPr>
            <w:tcW w:type="dxa" w:w="4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第三方聚合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feishu/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飞书</w:t>
            </w:r>
          </w:p>
        </w:tc>
        <w:tc>
          <w:tcPr>
            <w:tcW w:type="dxa" w:w="4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飞书 AI 接口</w:t>
            </w:r>
          </w:p>
        </w:tc>
      </w:tr>
    </w:tbl>
    <w:p>
      <w:r>
        <w:br w:type="page"/>
      </w:r>
    </w:p>
    <w:p>
      <w:pPr>
        <w:pStyle w:val="Heading1"/>
        <w:spacing w:before="360" w:after="200"/>
      </w:pPr>
      <w:r>
        <w:rPr>
          <w:rFonts w:ascii="Microsoft YaHei" w:cs="Microsoft YaHei" w:eastAsia="Microsoft YaHei" w:hAnsi="Microsoft YaHei"/>
        </w:rPr>
        <w:t xml:space="preserve">7. 业务服务层（service）</w:t>
      </w:r>
    </w:p>
    <w:p>
      <w:pPr>
        <w:spacing w:before="60" w:after="60" w:line="276"/>
      </w:pPr>
      <w:r>
        <w:rPr>
          <w:sz w:val="21"/>
          <w:szCs w:val="21"/>
          <w:rFonts w:ascii="Microsoft YaHei" w:cs="Microsoft YaHei" w:eastAsia="Microsoft YaHei" w:hAnsi="Microsoft YaHei"/>
        </w:rPr>
        <w:t xml:space="preserve">service 目录包含 50+ 个业务逻辑文件，封装核心业务处理：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600"/>
        <w:gridCol w:w="4306"/>
      </w:tblGrid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服务文件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核心功能</w:t>
            </w:r>
          </w:p>
        </w:tc>
        <w:tc>
          <w:tcPr>
            <w:tcW w:type="dxa" w:w="43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说明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quota_service.go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额度计算与扣减</w:t>
            </w:r>
          </w:p>
        </w:tc>
        <w:tc>
          <w:tcPr>
            <w:tcW w:type="dxa" w:w="43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请求计费、余额管理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channel_service.go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渠道调度</w:t>
            </w:r>
          </w:p>
        </w:tc>
        <w:tc>
          <w:tcPr>
            <w:tcW w:type="dxa" w:w="43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渠道选择、负载均衡、故障转移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token_service.go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令牌验证</w:t>
            </w:r>
          </w:p>
        </w:tc>
        <w:tc>
          <w:tcPr>
            <w:tcW w:type="dxa" w:w="43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API Key 验证、权限检查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user_service.go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用户业务</w:t>
            </w:r>
          </w:p>
        </w:tc>
        <w:tc>
          <w:tcPr>
            <w:tcW w:type="dxa" w:w="43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用户注册/登录/信息管理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log_service.go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日志服务</w:t>
            </w:r>
          </w:p>
        </w:tc>
        <w:tc>
          <w:tcPr>
            <w:tcW w:type="dxa" w:w="43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日志查询、统计、清理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redemption_service.go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兑换服务</w:t>
            </w:r>
          </w:p>
        </w:tc>
        <w:tc>
          <w:tcPr>
            <w:tcW w:type="dxa" w:w="43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兑换码生成、验证、核销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topup_service.go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充值服务</w:t>
            </w:r>
          </w:p>
        </w:tc>
        <w:tc>
          <w:tcPr>
            <w:tcW w:type="dxa" w:w="43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充值处理、回调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file_service.go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文件服务</w:t>
            </w:r>
          </w:p>
        </w:tc>
        <w:tc>
          <w:tcPr>
            <w:tcW w:type="dxa" w:w="43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文件上传、存储、管理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notification_service.go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通知服务</w:t>
            </w:r>
          </w:p>
        </w:tc>
        <w:tc>
          <w:tcPr>
            <w:tcW w:type="dxa" w:w="43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系统通知推送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pricing_service.go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定价服务</w:t>
            </w:r>
          </w:p>
        </w:tc>
        <w:tc>
          <w:tcPr>
            <w:tcW w:type="dxa" w:w="43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模型定价计算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model_service.go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模型服务</w:t>
            </w:r>
          </w:p>
        </w:tc>
        <w:tc>
          <w:tcPr>
            <w:tcW w:type="dxa" w:w="43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模型测试、状态管理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supplier_service.go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供应商服务</w:t>
            </w:r>
          </w:p>
        </w:tc>
        <w:tc>
          <w:tcPr>
            <w:tcW w:type="dxa" w:w="43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供应商信息管理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aff_service.go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推广服务</w:t>
            </w:r>
          </w:p>
        </w:tc>
        <w:tc>
          <w:tcPr>
            <w:tcW w:type="dxa" w:w="43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推广链接、佣金结算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oauth_service.go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OAuth 服务</w:t>
            </w:r>
          </w:p>
        </w:tc>
        <w:tc>
          <w:tcPr>
            <w:tcW w:type="dxa" w:w="43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第三方登录集成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webauthn_service.go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WebAuthn 服务</w:t>
            </w:r>
          </w:p>
        </w:tc>
        <w:tc>
          <w:tcPr>
            <w:tcW w:type="dxa" w:w="43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Passkey 管理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epay_service.go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支付服务</w:t>
            </w:r>
          </w:p>
        </w:tc>
        <w:tc>
          <w:tcPr>
            <w:tcW w:type="dxa" w:w="43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易支付集成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task_service.go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定时任务</w:t>
            </w:r>
          </w:p>
        </w:tc>
        <w:tc>
          <w:tcPr>
            <w:tcW w:type="dxa" w:w="43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异步任务调度</w:t>
            </w:r>
          </w:p>
        </w:tc>
      </w:tr>
    </w:tbl>
    <w:p>
      <w:r>
        <w:br w:type="page"/>
      </w:r>
    </w:p>
    <w:p>
      <w:pPr>
        <w:pStyle w:val="Heading1"/>
        <w:spacing w:before="360" w:after="200"/>
      </w:pPr>
      <w:r>
        <w:rPr>
          <w:rFonts w:ascii="Microsoft YaHei" w:cs="Microsoft YaHei" w:eastAsia="Microsoft YaHei" w:hAnsi="Microsoft YaHei"/>
        </w:rPr>
        <w:t xml:space="preserve">8. 中间件层（middleware）</w:t>
      </w:r>
    </w:p>
    <w:p>
      <w:pPr>
        <w:spacing w:before="60" w:after="60" w:line="276"/>
      </w:pPr>
      <w:r>
        <w:rPr>
          <w:sz w:val="21"/>
          <w:szCs w:val="21"/>
          <w:rFonts w:ascii="Microsoft YaHei" w:cs="Microsoft YaHei" w:eastAsia="Microsoft YaHei" w:hAnsi="Microsoft YaHei"/>
        </w:rPr>
        <w:t xml:space="preserve">middleware 目录包含 26 个中间件，用于请求拦截与处理：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400"/>
        <w:gridCol w:w="4506"/>
      </w:tblGrid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中间件文件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功能</w:t>
            </w:r>
          </w:p>
        </w:tc>
        <w:tc>
          <w:tcPr>
            <w:tcW w:type="dxa" w:w="4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应用场景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auth.go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JWT 认证</w:t>
            </w:r>
          </w:p>
        </w:tc>
        <w:tc>
          <w:tcPr>
            <w:tcW w:type="dxa" w:w="4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API 请求鉴权，验证令牌有效性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rate-limit.go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频率限制</w:t>
            </w:r>
          </w:p>
        </w:tc>
        <w:tc>
          <w:tcPr>
            <w:tcW w:type="dxa" w:w="4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全局/用户/IP 级别限流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cors.go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跨域处理</w:t>
            </w:r>
          </w:p>
        </w:tc>
        <w:tc>
          <w:tcPr>
            <w:tcW w:type="dxa" w:w="4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CORS 响应头设置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logger.go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请求日志</w:t>
            </w:r>
          </w:p>
        </w:tc>
        <w:tc>
          <w:tcPr>
            <w:tcW w:type="dxa" w:w="4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记录请求信息与耗时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distributor.go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分发策略</w:t>
            </w:r>
          </w:p>
        </w:tc>
        <w:tc>
          <w:tcPr>
            <w:tcW w:type="dxa" w:w="4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按权重/优先级分发到不同渠道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model_rate_limit.go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模型级限流</w:t>
            </w:r>
          </w:p>
        </w:tc>
        <w:tc>
          <w:tcPr>
            <w:tcW w:type="dxa" w:w="4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针对特定模型的频率限制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turnstile.go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Turnstile 验证</w:t>
            </w:r>
          </w:p>
        </w:tc>
        <w:tc>
          <w:tcPr>
            <w:tcW w:type="dxa" w:w="4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Cloudflare Turnstile 人机验证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ip.go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IP 解析</w:t>
            </w:r>
          </w:p>
        </w:tc>
        <w:tc>
          <w:tcPr>
            <w:tcW w:type="dxa" w:w="4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客户端真实 IP 提取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request-id.go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请求 ID</w:t>
            </w:r>
          </w:p>
        </w:tc>
        <w:tc>
          <w:tcPr>
            <w:tcW w:type="dxa" w:w="4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生成唯一请求追踪 ID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auth-admin.go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管理员认证</w:t>
            </w:r>
          </w:p>
        </w:tc>
        <w:tc>
          <w:tcPr>
            <w:tcW w:type="dxa" w:w="4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管理后台 API 鉴权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cache.go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响应缓存</w:t>
            </w:r>
          </w:p>
        </w:tc>
        <w:tc>
          <w:tcPr>
            <w:tcW w:type="dxa" w:w="4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高频请求缓存加速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gzip.go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Gzip 压缩</w:t>
            </w:r>
          </w:p>
        </w:tc>
        <w:tc>
          <w:tcPr>
            <w:tcW w:type="dxa" w:w="4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响应体压缩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recovery.go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异常恢复</w:t>
            </w:r>
          </w:p>
        </w:tc>
        <w:tc>
          <w:tcPr>
            <w:tcW w:type="dxa" w:w="4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Panic 恢复与错误日志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secure.go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安全头</w:t>
            </w:r>
          </w:p>
        </w:tc>
        <w:tc>
          <w:tcPr>
            <w:tcW w:type="dxa" w:w="4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安全相关 HTTP 头设置</w:t>
            </w:r>
          </w:p>
        </w:tc>
      </w:tr>
    </w:tbl>
    <w:p>
      <w:r>
        <w:br w:type="page"/>
      </w:r>
    </w:p>
    <w:p>
      <w:pPr>
        <w:pStyle w:val="Heading1"/>
        <w:spacing w:before="360" w:after="200"/>
      </w:pPr>
      <w:r>
        <w:rPr>
          <w:rFonts w:ascii="Microsoft YaHei" w:cs="Microsoft YaHei" w:eastAsia="Microsoft YaHei" w:hAnsi="Microsoft YaHei"/>
        </w:rPr>
        <w:t xml:space="preserve">9. 配置管理（setting）</w:t>
      </w:r>
    </w:p>
    <w:p>
      <w:pPr>
        <w:pStyle w:val="Heading2"/>
        <w:spacing w:before="280" w:after="160"/>
      </w:pPr>
      <w:r>
        <w:rPr>
          <w:rFonts w:ascii="Microsoft YaHei" w:cs="Microsoft YaHei" w:eastAsia="Microsoft YaHei" w:hAnsi="Microsoft YaHei"/>
        </w:rPr>
        <w:t xml:space="preserve">9.1 配置模块组织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400"/>
        <w:gridCol w:w="4506"/>
      </w:tblGrid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子目录/文件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功能</w:t>
            </w:r>
          </w:p>
        </w:tc>
        <w:tc>
          <w:tcPr>
            <w:tcW w:type="dxa" w:w="4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说明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ratio_setting/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倍率配置</w:t>
            </w:r>
          </w:p>
        </w:tc>
        <w:tc>
          <w:tcPr>
            <w:tcW w:type="dxa" w:w="4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模型倍率、分组倍率管理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operation_setting/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运营配置</w:t>
            </w:r>
          </w:p>
        </w:tc>
        <w:tc>
          <w:tcPr>
            <w:tcW w:type="dxa" w:w="4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注册开关、邀请奖励等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system_setting/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系统配置</w:t>
            </w:r>
          </w:p>
        </w:tc>
        <w:tc>
          <w:tcPr>
            <w:tcW w:type="dxa" w:w="4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邮件服务、通知等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model_setting.go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模型配置</w:t>
            </w:r>
          </w:p>
        </w:tc>
        <w:tc>
          <w:tcPr>
            <w:tcW w:type="dxa" w:w="4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模型列表、默认设置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performance_setting.go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性能配置</w:t>
            </w:r>
          </w:p>
        </w:tc>
        <w:tc>
          <w:tcPr>
            <w:tcW w:type="dxa" w:w="4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缓存策略、并发设置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server_setting.go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服务配置</w:t>
            </w:r>
          </w:p>
        </w:tc>
        <w:tc>
          <w:tcPr>
            <w:tcW w:type="dxa" w:w="4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服务器地址、端口</w:t>
            </w:r>
          </w:p>
        </w:tc>
      </w:tr>
    </w:tbl>
    <w:p>
      <w:pPr>
        <w:pStyle w:val="Heading1"/>
        <w:spacing w:before="360" w:after="200"/>
      </w:pPr>
      <w:r>
        <w:rPr>
          <w:rFonts w:ascii="Microsoft YaHei" w:cs="Microsoft YaHei" w:eastAsia="Microsoft YaHei" w:hAnsi="Microsoft YaHei"/>
        </w:rPr>
        <w:t xml:space="preserve">10. 公共工具（common）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7106"/>
      </w:tblGrid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文件</w:t>
            </w:r>
          </w:p>
        </w:tc>
        <w:tc>
          <w:tcPr>
            <w:tcW w:type="dxa" w:w="71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功能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json.go</w:t>
            </w:r>
          </w:p>
        </w:tc>
        <w:tc>
          <w:tcPr>
            <w:tcW w:type="dxa" w:w="71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JSON 序列化/反序列化封装（项目强制使用）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redis.go</w:t>
            </w:r>
          </w:p>
        </w:tc>
        <w:tc>
          <w:tcPr>
            <w:tcW w:type="dxa" w:w="71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Redis 连接与操作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logger.go</w:t>
            </w:r>
          </w:p>
        </w:tc>
        <w:tc>
          <w:tcPr>
            <w:tcW w:type="dxa" w:w="71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日志工具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crypto.go</w:t>
            </w:r>
          </w:p>
        </w:tc>
        <w:tc>
          <w:tcPr>
            <w:tcW w:type="dxa" w:w="71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加密/解密工具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email.go</w:t>
            </w:r>
          </w:p>
        </w:tc>
        <w:tc>
          <w:tcPr>
            <w:tcW w:type="dxa" w:w="71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邮件发送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env.go</w:t>
            </w:r>
          </w:p>
        </w:tc>
        <w:tc>
          <w:tcPr>
            <w:tcW w:type="dxa" w:w="71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环境变量读取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rate-limit.go</w:t>
            </w:r>
          </w:p>
        </w:tc>
        <w:tc>
          <w:tcPr>
            <w:tcW w:type="dxa" w:w="71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令牌桶限流器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random.go</w:t>
            </w:r>
          </w:p>
        </w:tc>
        <w:tc>
          <w:tcPr>
            <w:tcW w:type="dxa" w:w="71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随机数/字符串生成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utils.go</w:t>
            </w:r>
          </w:p>
        </w:tc>
        <w:tc>
          <w:tcPr>
            <w:tcW w:type="dxa" w:w="71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通用工具函数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constants.go</w:t>
            </w:r>
          </w:p>
        </w:tc>
        <w:tc>
          <w:tcPr>
            <w:tcW w:type="dxa" w:w="71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公共常量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image.go</w:t>
            </w:r>
          </w:p>
        </w:tc>
        <w:tc>
          <w:tcPr>
            <w:tcW w:type="dxa" w:w="71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图片处理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gin.go</w:t>
            </w:r>
          </w:p>
        </w:tc>
        <w:tc>
          <w:tcPr>
            <w:tcW w:type="dxa" w:w="71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Gin 框架工具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config.go</w:t>
            </w:r>
          </w:p>
        </w:tc>
        <w:tc>
          <w:tcPr>
            <w:tcW w:type="dxa" w:w="71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配置加载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test.go</w:t>
            </w:r>
          </w:p>
        </w:tc>
        <w:tc>
          <w:tcPr>
            <w:tcW w:type="dxa" w:w="71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测试工具</w:t>
            </w:r>
          </w:p>
        </w:tc>
      </w:tr>
    </w:tbl>
    <w:p>
      <w:pPr>
        <w:pStyle w:val="Heading1"/>
        <w:spacing w:before="360" w:after="200"/>
      </w:pPr>
      <w:r>
        <w:rPr>
          <w:rFonts w:ascii="Microsoft YaHei" w:cs="Microsoft YaHei" w:eastAsia="Microsoft YaHei" w:hAnsi="Microsoft YaHei"/>
        </w:rPr>
        <w:t xml:space="preserve">11. OAuth 认证模块</w:t>
      </w:r>
    </w:p>
    <w:p>
      <w:pPr>
        <w:spacing w:before="60" w:after="60" w:line="276"/>
      </w:pPr>
      <w:r>
        <w:rPr>
          <w:sz w:val="21"/>
          <w:szCs w:val="21"/>
          <w:rFonts w:ascii="Microsoft YaHei" w:cs="Microsoft YaHei" w:eastAsia="Microsoft YaHei" w:hAnsi="Microsoft YaHei"/>
        </w:rPr>
        <w:t xml:space="preserve">oauth/ 目录实现了多种第三方登录提供商：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2400"/>
        <w:gridCol w:w="5306"/>
      </w:tblGrid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提供商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文件</w:t>
            </w:r>
          </w:p>
        </w:tc>
        <w:tc>
          <w:tcPr>
            <w:tcW w:type="dxa" w:w="53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说明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GitHub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github.go</w:t>
            </w:r>
          </w:p>
        </w:tc>
        <w:tc>
          <w:tcPr>
            <w:tcW w:type="dxa" w:w="53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GitHub OAuth 登录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Discord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discord.go</w:t>
            </w:r>
          </w:p>
        </w:tc>
        <w:tc>
          <w:tcPr>
            <w:tcW w:type="dxa" w:w="53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Discord OAuth 登录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微信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wechat.go</w:t>
            </w:r>
          </w:p>
        </w:tc>
        <w:tc>
          <w:tcPr>
            <w:tcW w:type="dxa" w:w="53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微信公众号/开放平台登录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OIDC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oidc.go</w:t>
            </w:r>
          </w:p>
        </w:tc>
        <w:tc>
          <w:tcPr>
            <w:tcW w:type="dxa" w:w="53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通用 OIDC 协议登录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Google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google.go</w:t>
            </w:r>
          </w:p>
        </w:tc>
        <w:tc>
          <w:tcPr>
            <w:tcW w:type="dxa" w:w="53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Google OAuth 登录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Lark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lark.go</w:t>
            </w:r>
          </w:p>
        </w:tc>
        <w:tc>
          <w:tcPr>
            <w:tcW w:type="dxa" w:w="53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飞书 OAuth 登录</w:t>
            </w:r>
          </w:p>
        </w:tc>
      </w:tr>
    </w:tbl>
    <w:p>
      <w:r>
        <w:br w:type="page"/>
      </w:r>
    </w:p>
    <w:p>
      <w:pPr>
        <w:pStyle w:val="Heading1"/>
        <w:spacing w:before="360" w:after="200"/>
      </w:pPr>
      <w:r>
        <w:rPr>
          <w:rFonts w:ascii="Microsoft YaHei" w:cs="Microsoft YaHei" w:eastAsia="Microsoft YaHei" w:hAnsi="Microsoft YaHei"/>
        </w:rPr>
        <w:t xml:space="preserve">12. 类型定义（types / dto / constant）</w:t>
      </w:r>
    </w:p>
    <w:p>
      <w:pPr>
        <w:pStyle w:val="Heading2"/>
        <w:spacing w:before="280" w:after="160"/>
      </w:pPr>
      <w:r>
        <w:rPr>
          <w:rFonts w:ascii="Microsoft YaHei" w:cs="Microsoft YaHei" w:eastAsia="Microsoft YaHei" w:hAnsi="Microsoft YaHei"/>
        </w:rPr>
        <w:t xml:space="preserve">12.1 types 目录</w:t>
      </w:r>
    </w:p>
    <w:p>
      <w:pPr>
        <w:spacing w:before="60" w:after="60" w:line="276"/>
      </w:pPr>
      <w:r>
        <w:rPr>
          <w:sz w:val="21"/>
          <w:szCs w:val="21"/>
          <w:rFonts w:ascii="Microsoft YaHei" w:cs="Microsoft YaHei" w:eastAsia="Microsoft YaHei" w:hAnsi="Microsoft YaHei"/>
        </w:rPr>
        <w:t xml:space="preserve">定义 Relay 相关的核心类型：请求格式（RelayRequest/GeneralOpenAIRequest）、响应格式、文件来源、错误类型等。</w:t>
      </w:r>
    </w:p>
    <w:p>
      <w:pPr>
        <w:pStyle w:val="Heading2"/>
        <w:spacing w:before="280" w:after="160"/>
      </w:pPr>
      <w:r>
        <w:rPr>
          <w:rFonts w:ascii="Microsoft YaHei" w:cs="Microsoft YaHei" w:eastAsia="Microsoft YaHei" w:hAnsi="Microsoft YaHei"/>
        </w:rPr>
        <w:t xml:space="preserve">12.2 dto 目录</w:t>
      </w:r>
    </w:p>
    <w:p>
      <w:pPr>
        <w:spacing w:before="60" w:after="60" w:line="276"/>
      </w:pPr>
      <w:r>
        <w:rPr>
          <w:sz w:val="21"/>
          <w:szCs w:val="21"/>
          <w:rFonts w:ascii="Microsoft YaHei" w:cs="Microsoft YaHei" w:eastAsia="Microsoft YaHei" w:hAnsi="Microsoft YaHei"/>
        </w:rPr>
        <w:t xml:space="preserve">数据传输对象（Data Transfer Object），包含请求/响应的结构体定义，如 PaginationRequest、ChannelRequest、TokenRequest 等。</w:t>
      </w:r>
    </w:p>
    <w:p>
      <w:pPr>
        <w:pStyle w:val="Heading2"/>
        <w:spacing w:before="280" w:after="160"/>
      </w:pPr>
      <w:r>
        <w:rPr>
          <w:rFonts w:ascii="Microsoft YaHei" w:cs="Microsoft YaHei" w:eastAsia="Microsoft YaHei" w:hAnsi="Microsoft YaHei"/>
        </w:rPr>
        <w:t xml:space="preserve">12.3 constant 目录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706"/>
      </w:tblGrid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文件</w:t>
            </w:r>
          </w:p>
        </w:tc>
        <w:tc>
          <w:tcPr>
            <w:tcW w:type="dxa" w:w="67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定义内容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api_type.go</w:t>
            </w:r>
          </w:p>
        </w:tc>
        <w:tc>
          <w:tcPr>
            <w:tcW w:type="dxa" w:w="67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API 类型常量（ChatCompletion、Embedding、ImageGeneration 等）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channel_type.go</w:t>
            </w:r>
          </w:p>
        </w:tc>
        <w:tc>
          <w:tcPr>
            <w:tcW w:type="dxa" w:w="67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渠道类型常量（OpenAI、Claude、Gemini、Azure 等 40+ 类型）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context_key.go</w:t>
            </w:r>
          </w:p>
        </w:tc>
        <w:tc>
          <w:tcPr>
            <w:tcW w:type="dxa" w:w="67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上下文键常量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model_type.go</w:t>
            </w:r>
          </w:p>
        </w:tc>
        <w:tc>
          <w:tcPr>
            <w:tcW w:type="dxa" w:w="67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模型分类常量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permission.go</w:t>
            </w:r>
          </w:p>
        </w:tc>
        <w:tc>
          <w:tcPr>
            <w:tcW w:type="dxa" w:w="67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权限常量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status_code.go</w:t>
            </w:r>
          </w:p>
        </w:tc>
        <w:tc>
          <w:tcPr>
            <w:tcW w:type="dxa" w:w="67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HTTP 状态码常量</w:t>
            </w:r>
          </w:p>
        </w:tc>
      </w:tr>
    </w:tbl>
    <w:p>
      <w:r>
        <w:br w:type="page"/>
      </w:r>
    </w:p>
    <w:p>
      <w:pPr>
        <w:pStyle w:val="Heading1"/>
        <w:spacing w:before="360" w:after="200"/>
      </w:pPr>
      <w:r>
        <w:rPr>
          <w:rFonts w:ascii="Microsoft YaHei" w:cs="Microsoft YaHei" w:eastAsia="Microsoft YaHei" w:hAnsi="Microsoft YaHei"/>
        </w:rPr>
        <w:t xml:space="preserve">13. 前端模块（web）</w:t>
      </w:r>
    </w:p>
    <w:p>
      <w:pPr>
        <w:pStyle w:val="Heading2"/>
        <w:spacing w:before="280" w:after="160"/>
      </w:pPr>
      <w:r>
        <w:rPr>
          <w:rFonts w:ascii="Microsoft YaHei" w:cs="Microsoft YaHei" w:eastAsia="Microsoft YaHei" w:hAnsi="Microsoft YaHei"/>
        </w:rPr>
        <w:t xml:space="preserve">13.1 前端目录结构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506"/>
      </w:tblGrid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目录</w:t>
            </w:r>
          </w:p>
        </w:tc>
        <w:tc>
          <w:tcPr>
            <w:tcW w:type="dxa" w:w="6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功能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web/src/pages/</w:t>
            </w:r>
          </w:p>
        </w:tc>
        <w:tc>
          <w:tcPr>
            <w:tcW w:type="dxa" w:w="6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页面组件（按功能模块分目录）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web/src/components/</w:t>
            </w:r>
          </w:p>
        </w:tc>
        <w:tc>
          <w:tcPr>
            <w:tcW w:type="dxa" w:w="6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共享 UI 组件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web/src/i18n/</w:t>
            </w:r>
          </w:p>
        </w:tc>
        <w:tc>
          <w:tcPr>
            <w:tcW w:type="dxa" w:w="6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国际化资源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web/src/helpers/</w:t>
            </w:r>
          </w:p>
        </w:tc>
        <w:tc>
          <w:tcPr>
            <w:tcW w:type="dxa" w:w="6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前端工具函数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web/src/routes/</w:t>
            </w:r>
          </w:p>
        </w:tc>
        <w:tc>
          <w:tcPr>
            <w:tcW w:type="dxa" w:w="6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路由配置（App.jsx）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web/src/models/</w:t>
            </w:r>
          </w:p>
        </w:tc>
        <w:tc>
          <w:tcPr>
            <w:tcW w:type="dxa" w:w="6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数据模型（前端）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web/src/services/</w:t>
            </w:r>
          </w:p>
        </w:tc>
        <w:tc>
          <w:tcPr>
            <w:tcW w:type="dxa" w:w="6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API 服务调用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web/src/context/</w:t>
            </w:r>
          </w:p>
        </w:tc>
        <w:tc>
          <w:tcPr>
            <w:tcW w:type="dxa" w:w="6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React Context 状态管理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web/src/styles/</w:t>
            </w:r>
          </w:p>
        </w:tc>
        <w:tc>
          <w:tcPr>
            <w:tcW w:type="dxa" w:w="6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全局样式</w:t>
            </w:r>
          </w:p>
        </w:tc>
      </w:tr>
    </w:tbl>
    <w:p>
      <w:pPr>
        <w:pStyle w:val="Heading2"/>
        <w:spacing w:before="280" w:after="160"/>
      </w:pPr>
      <w:r>
        <w:rPr>
          <w:rFonts w:ascii="Microsoft YaHei" w:cs="Microsoft YaHei" w:eastAsia="Microsoft YaHei" w:hAnsi="Microsoft YaHei"/>
        </w:rPr>
        <w:t xml:space="preserve">13.2 前端页面模块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2800"/>
        <w:gridCol w:w="4306"/>
      </w:tblGrid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页面目录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路由路径</w:t>
            </w:r>
          </w:p>
        </w:tc>
        <w:tc>
          <w:tcPr>
            <w:tcW w:type="dxa" w:w="43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功能说明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Home/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</w:t>
            </w:r>
          </w:p>
        </w:tc>
        <w:tc>
          <w:tcPr>
            <w:tcW w:type="dxa" w:w="43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首页（模型广场、公告、使用指南）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Pricing/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/pricing</w:t>
            </w:r>
          </w:p>
        </w:tc>
        <w:tc>
          <w:tcPr>
            <w:tcW w:type="dxa" w:w="43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模型定价页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Login/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/login</w:t>
            </w:r>
          </w:p>
        </w:tc>
        <w:tc>
          <w:tcPr>
            <w:tcW w:type="dxa" w:w="43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登录页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Register/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/register</w:t>
            </w:r>
          </w:p>
        </w:tc>
        <w:tc>
          <w:tcPr>
            <w:tcW w:type="dxa" w:w="43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注册页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ForgotPassword/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/forget</w:t>
            </w:r>
          </w:p>
        </w:tc>
        <w:tc>
          <w:tcPr>
            <w:tcW w:type="dxa" w:w="43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忘记密码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Dashboard/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/dashboard</w:t>
            </w:r>
          </w:p>
        </w:tc>
        <w:tc>
          <w:tcPr>
            <w:tcW w:type="dxa" w:w="43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用户数据面板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TopUp/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/topup</w:t>
            </w:r>
          </w:p>
        </w:tc>
        <w:tc>
          <w:tcPr>
            <w:tcW w:type="dxa" w:w="43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充值页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Token/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/token</w:t>
            </w:r>
          </w:p>
        </w:tc>
        <w:tc>
          <w:tcPr>
            <w:tcW w:type="dxa" w:w="43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令牌管理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Log/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/log</w:t>
            </w:r>
          </w:p>
        </w:tc>
        <w:tc>
          <w:tcPr>
            <w:tcW w:type="dxa" w:w="43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请求日志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Setting/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/setting</w:t>
            </w:r>
          </w:p>
        </w:tc>
        <w:tc>
          <w:tcPr>
            <w:tcW w:type="dxa" w:w="43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个人设置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User/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/user（管理）</w:t>
            </w:r>
          </w:p>
        </w:tc>
        <w:tc>
          <w:tcPr>
            <w:tcW w:type="dxa" w:w="43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用户管理（管理员）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Channel/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/channel（管理）</w:t>
            </w:r>
          </w:p>
        </w:tc>
        <w:tc>
          <w:tcPr>
            <w:tcW w:type="dxa" w:w="43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渠道管理（管理员）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Model/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/model（管理）</w:t>
            </w:r>
          </w:p>
        </w:tc>
        <w:tc>
          <w:tcPr>
            <w:tcW w:type="dxa" w:w="43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模型管理（管理员）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Supplier/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/supplier（管理）</w:t>
            </w:r>
          </w:p>
        </w:tc>
        <w:tc>
          <w:tcPr>
            <w:tcW w:type="dxa" w:w="43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供应商管理（管理员）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Redemption/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/redemption（管理）</w:t>
            </w:r>
          </w:p>
        </w:tc>
        <w:tc>
          <w:tcPr>
            <w:tcW w:type="dxa" w:w="43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兑换码管理（管理员）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Operation/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/operation（管理）</w:t>
            </w:r>
          </w:p>
        </w:tc>
        <w:tc>
          <w:tcPr>
            <w:tcW w:type="dxa" w:w="43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运营设置（管理员）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Chat/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/chat</w:t>
            </w:r>
          </w:p>
        </w:tc>
        <w:tc>
          <w:tcPr>
            <w:tcW w:type="dxa" w:w="43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聊天对话页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Playground/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/playground</w:t>
            </w:r>
          </w:p>
        </w:tc>
        <w:tc>
          <w:tcPr>
            <w:tcW w:type="dxa" w:w="43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API 测试场</w:t>
            </w:r>
          </w:p>
        </w:tc>
      </w:tr>
    </w:tbl>
    <w:p>
      <w:pPr>
        <w:pStyle w:val="Heading2"/>
        <w:spacing w:before="280" w:after="160"/>
      </w:pPr>
      <w:r>
        <w:rPr>
          <w:rFonts w:ascii="Microsoft YaHei" w:cs="Microsoft YaHei" w:eastAsia="Microsoft YaHei" w:hAnsi="Microsoft YaHei"/>
        </w:rPr>
        <w:t xml:space="preserve">13.3 管理后台设置标签页</w:t>
      </w:r>
    </w:p>
    <w:p>
      <w:pPr>
        <w:spacing w:before="60" w:after="60" w:line="276"/>
      </w:pPr>
      <w:r>
        <w:rPr>
          <w:sz w:val="21"/>
          <w:szCs w:val="21"/>
          <w:rFonts w:ascii="Microsoft YaHei" w:cs="Microsoft YaHei" w:eastAsia="Microsoft YaHei" w:hAnsi="Microsoft YaHei"/>
        </w:rPr>
        <w:t xml:space="preserve">Setting/Operation 管理页面包含 20+ 个设置标签：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7106"/>
      </w:tblGrid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标签页</w:t>
            </w:r>
          </w:p>
        </w:tc>
        <w:tc>
          <w:tcPr>
            <w:tcW w:type="dxa" w:w="71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设置内容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系统设置</w:t>
            </w:r>
          </w:p>
        </w:tc>
        <w:tc>
          <w:tcPr>
            <w:tcW w:type="dxa" w:w="71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系统名称、Logo、描述等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注册设置</w:t>
            </w:r>
          </w:p>
        </w:tc>
        <w:tc>
          <w:tcPr>
            <w:tcW w:type="dxa" w:w="71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注册开关、邮箱验证、邀请码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邮件设置</w:t>
            </w:r>
          </w:p>
        </w:tc>
        <w:tc>
          <w:tcPr>
            <w:tcW w:type="dxa" w:w="71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SMTP 服务器配置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GitHub OAuth</w:t>
            </w:r>
          </w:p>
        </w:tc>
        <w:tc>
          <w:tcPr>
            <w:tcW w:type="dxa" w:w="71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GitHub OAuth 客户端配置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微信设置</w:t>
            </w:r>
          </w:p>
        </w:tc>
        <w:tc>
          <w:tcPr>
            <w:tcW w:type="dxa" w:w="71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微信公众号/开放平台配置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Turnstile 设置</w:t>
            </w:r>
          </w:p>
        </w:tc>
        <w:tc>
          <w:tcPr>
            <w:tcW w:type="dxa" w:w="71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Cloudflare 人机验证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Redis 设置</w:t>
            </w:r>
          </w:p>
        </w:tc>
        <w:tc>
          <w:tcPr>
            <w:tcW w:type="dxa" w:w="71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Redis 连接配置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日志设置</w:t>
            </w:r>
          </w:p>
        </w:tc>
        <w:tc>
          <w:tcPr>
            <w:tcW w:type="dxa" w:w="71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日志保留天数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额度设置</w:t>
            </w:r>
          </w:p>
        </w:tc>
        <w:tc>
          <w:tcPr>
            <w:tcW w:type="dxa" w:w="71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新用户初始额度、充值倍率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倍率设置</w:t>
            </w:r>
          </w:p>
        </w:tc>
        <w:tc>
          <w:tcPr>
            <w:tcW w:type="dxa" w:w="71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模型倍率、分组倍率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模型设置</w:t>
            </w:r>
          </w:p>
        </w:tc>
        <w:tc>
          <w:tcPr>
            <w:tcW w:type="dxa" w:w="71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模型列表管理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首页设置</w:t>
            </w:r>
          </w:p>
        </w:tc>
        <w:tc>
          <w:tcPr>
            <w:tcW w:type="dxa" w:w="71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首页内容定制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公告设置</w:t>
            </w:r>
          </w:p>
        </w:tc>
        <w:tc>
          <w:tcPr>
            <w:tcW w:type="dxa" w:w="71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系统公告管理</w:t>
            </w:r>
          </w:p>
        </w:tc>
      </w:tr>
    </w:tbl>
    <w:p>
      <w:r>
        <w:br w:type="page"/>
      </w:r>
    </w:p>
    <w:p>
      <w:pPr>
        <w:pStyle w:val="Heading1"/>
        <w:spacing w:before="360" w:after="200"/>
      </w:pPr>
      <w:r>
        <w:rPr>
          <w:rFonts w:ascii="Microsoft YaHei" w:cs="Microsoft YaHei" w:eastAsia="Microsoft YaHei" w:hAnsi="Microsoft YaHei"/>
        </w:rPr>
        <w:t xml:space="preserve">14. 国际化（i18n）</w:t>
      </w:r>
    </w:p>
    <w:p>
      <w:pPr>
        <w:pStyle w:val="Heading2"/>
        <w:spacing w:before="280" w:after="160"/>
      </w:pPr>
      <w:r>
        <w:rPr>
          <w:rFonts w:ascii="Microsoft YaHei" w:cs="Microsoft YaHei" w:eastAsia="Microsoft YaHei" w:hAnsi="Microsoft YaHei"/>
        </w:rPr>
        <w:t xml:space="preserve">14.1 后端国际化（i18n/）</w:t>
      </w:r>
    </w:p>
    <w:p>
      <w:pPr>
        <w:spacing w:before="60" w:after="60" w:line="276"/>
      </w:pPr>
      <w:r>
        <w:rPr>
          <w:sz w:val="21"/>
          <w:szCs w:val="21"/>
          <w:rFonts w:ascii="Microsoft YaHei" w:cs="Microsoft YaHei" w:eastAsia="Microsoft YaHei" w:hAnsi="Microsoft YaHei"/>
        </w:rPr>
        <w:t xml:space="preserve">使用 nicksnyder/go-i18n/v2 库，支持 en（英语）和 zh（中文）两种语言。</w:t>
      </w:r>
    </w:p>
    <w:p>
      <w:pPr>
        <w:pStyle w:val="Heading2"/>
        <w:spacing w:before="280" w:after="160"/>
      </w:pPr>
      <w:r>
        <w:rPr>
          <w:rFonts w:ascii="Microsoft YaHei" w:cs="Microsoft YaHei" w:eastAsia="Microsoft YaHei" w:hAnsi="Microsoft YaHei"/>
        </w:rPr>
        <w:t xml:space="preserve">14.2 前端国际化（web/src/i18n/）</w:t>
      </w:r>
    </w:p>
    <w:p>
      <w:pPr>
        <w:spacing w:before="60" w:after="60" w:line="276"/>
      </w:pPr>
      <w:r>
        <w:rPr>
          <w:sz w:val="21"/>
          <w:szCs w:val="21"/>
          <w:rFonts w:ascii="Microsoft YaHei" w:cs="Microsoft YaHei" w:eastAsia="Microsoft YaHei" w:hAnsi="Microsoft YaHei"/>
        </w:rPr>
        <w:t xml:space="preserve">使用 i18next + react-i18next + i18next-browser-languagedetector 库。翻译文件位于 web/src/i18n/locales/ 目录。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0"/>
        <w:gridCol w:w="4706"/>
      </w:tblGrid>
      <w:tr>
        <w:tc>
          <w:tcPr>
            <w:tcW w:type="dxa" w:w="4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语言文件</w:t>
            </w:r>
          </w:p>
        </w:tc>
        <w:tc>
          <w:tcPr>
            <w:tcW w:type="dxa" w:w="47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语言</w:t>
            </w:r>
          </w:p>
        </w:tc>
      </w:tr>
      <w:tr>
        <w:tc>
          <w:tcPr>
            <w:tcW w:type="dxa" w:w="4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zh.json</w:t>
            </w:r>
          </w:p>
        </w:tc>
        <w:tc>
          <w:tcPr>
            <w:tcW w:type="dxa" w:w="47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中文（默认/回退语言）</w:t>
            </w:r>
          </w:p>
        </w:tc>
      </w:tr>
      <w:tr>
        <w:tc>
          <w:tcPr>
            <w:tcW w:type="dxa" w:w="4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en.json</w:t>
            </w:r>
          </w:p>
        </w:tc>
        <w:tc>
          <w:tcPr>
            <w:tcW w:type="dxa" w:w="47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英语</w:t>
            </w:r>
          </w:p>
        </w:tc>
      </w:tr>
      <w:tr>
        <w:tc>
          <w:tcPr>
            <w:tcW w:type="dxa" w:w="4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fr.json</w:t>
            </w:r>
          </w:p>
        </w:tc>
        <w:tc>
          <w:tcPr>
            <w:tcW w:type="dxa" w:w="47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法语</w:t>
            </w:r>
          </w:p>
        </w:tc>
      </w:tr>
      <w:tr>
        <w:tc>
          <w:tcPr>
            <w:tcW w:type="dxa" w:w="4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ru.json</w:t>
            </w:r>
          </w:p>
        </w:tc>
        <w:tc>
          <w:tcPr>
            <w:tcW w:type="dxa" w:w="47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俄语</w:t>
            </w:r>
          </w:p>
        </w:tc>
      </w:tr>
      <w:tr>
        <w:tc>
          <w:tcPr>
            <w:tcW w:type="dxa" w:w="4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ja.json</w:t>
            </w:r>
          </w:p>
        </w:tc>
        <w:tc>
          <w:tcPr>
            <w:tcW w:type="dxa" w:w="47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日语</w:t>
            </w:r>
          </w:p>
        </w:tc>
      </w:tr>
      <w:tr>
        <w:tc>
          <w:tcPr>
            <w:tcW w:type="dxa" w:w="4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vi.json</w:t>
            </w:r>
          </w:p>
        </w:tc>
        <w:tc>
          <w:tcPr>
            <w:tcW w:type="dxa" w:w="47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越南语</w:t>
            </w:r>
          </w:p>
        </w:tc>
      </w:tr>
    </w:tbl>
    <w:p>
      <w:r>
        <w:br w:type="page"/>
      </w:r>
    </w:p>
    <w:p>
      <w:pPr>
        <w:pStyle w:val="Heading1"/>
        <w:spacing w:before="360" w:after="200"/>
      </w:pPr>
      <w:r>
        <w:rPr>
          <w:rFonts w:ascii="Microsoft YaHei" w:cs="Microsoft YaHei" w:eastAsia="Microsoft YaHei" w:hAnsi="Microsoft YaHei"/>
        </w:rPr>
        <w:t xml:space="preserve">15. 构建与部署</w:t>
      </w:r>
    </w:p>
    <w:p>
      <w:pPr>
        <w:pStyle w:val="Heading2"/>
        <w:spacing w:before="280" w:after="160"/>
      </w:pPr>
      <w:r>
        <w:rPr>
          <w:rFonts w:ascii="Microsoft YaHei" w:cs="Microsoft YaHei" w:eastAsia="Microsoft YaHei" w:hAnsi="Microsoft YaHei"/>
        </w:rPr>
        <w:t xml:space="preserve">15.1 构建文件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506"/>
      </w:tblGrid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文件</w:t>
            </w:r>
          </w:p>
        </w:tc>
        <w:tc>
          <w:tcPr>
            <w:tcW w:type="dxa" w:w="6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Fonts w:ascii="Microsoft YaHei" w:cs="Microsoft YaHei" w:eastAsia="Microsoft YaHei" w:hAnsi="Microsoft YaHei"/>
              </w:rPr>
              <w:t xml:space="preserve">说明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Dockerfile</w:t>
            </w:r>
          </w:p>
        </w:tc>
        <w:tc>
          <w:tcPr>
            <w:tcW w:type="dxa" w:w="6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多阶段构建：Go 编译 + Nginx 前端部署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docker-compose.yml</w:t>
            </w:r>
          </w:p>
        </w:tc>
        <w:tc>
          <w:tcPr>
            <w:tcW w:type="dxa" w:w="6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Docker Compose 编排（PostgreSQL + Redis + App）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docker-compose.local.yml</w:t>
            </w:r>
          </w:p>
        </w:tc>
        <w:tc>
          <w:tcPr>
            <w:tcW w:type="dxa" w:w="6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本地开发环境编排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makefile</w:t>
            </w:r>
          </w:p>
        </w:tc>
        <w:tc>
          <w:tcPr>
            <w:tcW w:type="dxa" w:w="6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Make 构建命令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.env.example</w:t>
            </w:r>
          </w:p>
        </w:tc>
        <w:tc>
          <w:tcPr>
            <w:tcW w:type="dxa" w:w="65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 w:line="276"/>
            </w:pPr>
            <w:r>
              <w:rPr>
                <w:sz w:val="19"/>
                <w:szCs w:val="19"/>
                <w:rFonts w:ascii="Microsoft YaHei" w:cs="Microsoft YaHei" w:eastAsia="Microsoft YaHei" w:hAnsi="Microsoft YaHei"/>
              </w:rPr>
              <w:t xml:space="preserve">环境变量模板</w:t>
            </w:r>
          </w:p>
        </w:tc>
      </w:tr>
    </w:tbl>
    <w:p>
      <w:pPr>
        <w:pStyle w:val="Heading2"/>
        <w:spacing w:before="280" w:after="160"/>
      </w:pPr>
      <w:r>
        <w:rPr>
          <w:rFonts w:ascii="Microsoft YaHei" w:cs="Microsoft YaHei" w:eastAsia="Microsoft YaHei" w:hAnsi="Microsoft YaHei"/>
        </w:rPr>
        <w:t xml:space="preserve">15.2 开发环境启动</w:t>
      </w:r>
    </w:p>
    <w:p>
      <w:pPr>
        <w:spacing w:before="60" w:after="60" w:line="276"/>
      </w:pPr>
      <w:r>
        <w:rPr>
          <w:sz w:val="21"/>
          <w:szCs w:val="21"/>
          <w:rFonts w:ascii="Microsoft YaHei" w:cs="Microsoft YaHei" w:eastAsia="Microsoft YaHei" w:hAnsi="Microsoft YaHei"/>
        </w:rPr>
        <w:t xml:space="preserve">1. 复制 .env.example 为 .env，填写配置</w:t>
      </w:r>
    </w:p>
    <w:p>
      <w:pPr>
        <w:spacing w:before="60" w:after="60" w:line="276"/>
      </w:pPr>
      <w:r>
        <w:rPr>
          <w:sz w:val="21"/>
          <w:szCs w:val="21"/>
          <w:rFonts w:ascii="Microsoft YaHei" w:cs="Microsoft YaHei" w:eastAsia="Microsoft YaHei" w:hAnsi="Microsoft YaHei"/>
        </w:rPr>
        <w:t xml:space="preserve">2. 启动数据库服务：docker compose -f docker-compose.local.yml up -d postgres redis</w:t>
      </w:r>
    </w:p>
    <w:p>
      <w:pPr>
        <w:spacing w:before="60" w:after="60" w:line="276"/>
      </w:pPr>
      <w:r>
        <w:rPr>
          <w:sz w:val="21"/>
          <w:szCs w:val="21"/>
          <w:rFonts w:ascii="Microsoft YaHei" w:cs="Microsoft YaHei" w:eastAsia="Microsoft YaHei" w:hAnsi="Microsoft YaHei"/>
        </w:rPr>
        <w:t xml:space="preserve">3. 启动后端：go run main.go</w:t>
      </w:r>
    </w:p>
    <w:p>
      <w:pPr>
        <w:spacing w:before="60" w:after="60" w:line="276"/>
      </w:pPr>
      <w:r>
        <w:rPr>
          <w:sz w:val="21"/>
          <w:szCs w:val="21"/>
          <w:rFonts w:ascii="Microsoft YaHei" w:cs="Microsoft YaHei" w:eastAsia="Microsoft YaHei" w:hAnsi="Microsoft YaHei"/>
        </w:rPr>
        <w:t xml:space="preserve">4. 启动前端：cd web &amp;&amp; bun install &amp;&amp; bun run dev</w:t>
      </w:r>
    </w:p>
    <w:p>
      <w:pPr>
        <w:pStyle w:val="Heading2"/>
        <w:spacing w:before="280" w:after="160"/>
      </w:pPr>
      <w:r>
        <w:rPr>
          <w:rFonts w:ascii="Microsoft YaHei" w:cs="Microsoft YaHei" w:eastAsia="Microsoft YaHei" w:hAnsi="Microsoft YaHei"/>
        </w:rPr>
        <w:t xml:space="preserve">15.3 生产部署</w:t>
      </w:r>
    </w:p>
    <w:p>
      <w:pPr>
        <w:spacing w:before="60" w:after="60" w:line="276"/>
      </w:pPr>
      <w:r>
        <w:rPr>
          <w:sz w:val="21"/>
          <w:szCs w:val="21"/>
          <w:rFonts w:ascii="Microsoft YaHei" w:cs="Microsoft YaHei" w:eastAsia="Microsoft YaHei" w:hAnsi="Microsoft YaHei"/>
        </w:rPr>
        <w:t xml:space="preserve">1. 构建镜像：docker build -t token-factory:latest .</w:t>
      </w:r>
    </w:p>
    <w:p>
      <w:pPr>
        <w:spacing w:before="60" w:after="60" w:line="276"/>
      </w:pPr>
      <w:r>
        <w:rPr>
          <w:sz w:val="21"/>
          <w:szCs w:val="21"/>
          <w:rFonts w:ascii="Microsoft YaHei" w:cs="Microsoft YaHei" w:eastAsia="Microsoft YaHei" w:hAnsi="Microsoft YaHei"/>
        </w:rPr>
        <w:t xml:space="preserve">2. 启动服务：docker compose up -d</w:t>
      </w:r>
    </w:p>
    <w:p>
      <w:pPr>
        <w:spacing w:before="60" w:after="60" w:line="276"/>
      </w:pPr>
      <w:r>
        <w:rPr>
          <w:sz w:val="21"/>
          <w:szCs w:val="21"/>
          <w:rFonts w:ascii="Microsoft YaHei" w:cs="Microsoft YaHei" w:eastAsia="Microsoft YaHei" w:hAnsi="Microsoft YaHei"/>
        </w:rPr>
        <w:t xml:space="preserve">3. 默认端口：3000</w:t>
      </w:r>
    </w:p>
    <w:sectPr>
      <w:headerReference w:type="default" r:id="rId6"/>
      <w:footerReference w:type="default" r:id="rId7"/>
      <w:pgSz w:w="11906" w:h="16838" w:orient="portrait"/>
      <w:pgMar w:top="1200" w:right="1200" w:bottom="120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AAAAAA"/>
        <w:sz w:val="18"/>
        <w:szCs w:val="18"/>
        <w:rFonts w:ascii="Microsoft YaHei" w:cs="Microsoft YaHei" w:eastAsia="Microsoft YaHei" w:hAnsi="Microsoft YaHei"/>
      </w:rPr>
      <w:t xml:space="preserve">第 </w:t>
    </w:r>
    <w:r>
      <w:rPr>
        <w:color w:val="AAAAAA"/>
        <w:sz w:val="18"/>
        <w:szCs w:val="18"/>
        <w:rFonts w:ascii="Microsoft YaHei" w:cs="Microsoft YaHei" w:eastAsia="Microsoft YaHei" w:hAnsi="Microsoft YaHei"/>
      </w:rPr>
      <w:fldChar w:fldCharType="begin"/>
      <w:instrText xml:space="preserve">PAGE</w:instrText>
      <w:fldChar w:fldCharType="separate"/>
      <w:fldChar w:fldCharType="end"/>
    </w:r>
    <w:r>
      <w:rPr>
        <w:color w:val="AAAAAA"/>
        <w:sz w:val="18"/>
        <w:szCs w:val="18"/>
        <w:rFonts w:ascii="Microsoft YaHei" w:cs="Microsoft YaHei" w:eastAsia="Microsoft YaHei" w:hAnsi="Microsoft YaHei"/>
      </w:rPr>
      <w:t xml:space="preserve"> 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AAAAAA"/>
        <w:sz w:val="18"/>
        <w:szCs w:val="18"/>
        <w:rFonts w:ascii="Microsoft YaHei" w:cs="Microsoft YaHei" w:eastAsia="Microsoft YaHei" w:hAnsi="Microsoft YaHei"/>
      </w:rPr>
      <w:t xml:space="preserve">Token Factory 架构分析文档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1"/>
        <w:szCs w:val="21"/>
        <w:rFonts w:ascii="Microsoft YaHei" w:cs="Microsoft YaHei" w:eastAsia="Microsoft YaHei" w:hAnsi="Microsoft YaHe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before="360" w:after="200"/>
      <w:outlineLvl w:val="0"/>
    </w:pPr>
    <w:rPr>
      <w:b/>
      <w:bCs/>
      <w:color w:val="1F4E79"/>
      <w:sz w:val="36"/>
      <w:szCs w:val="36"/>
      <w:rFonts w:ascii="Microsoft YaHei" w:cs="Microsoft YaHei" w:eastAsia="Microsoft YaHei" w:hAnsi="Microsoft YaHei"/>
    </w:rPr>
  </w:style>
  <w:style w:type="paragraph" w:styleId="Heading2">
    <w:name w:val="Heading 2"/>
    <w:basedOn w:val="Normal"/>
    <w:next w:val="Normal"/>
    <w:qFormat/>
    <w:pPr>
      <w:spacing w:before="280" w:after="160"/>
      <w:outlineLvl w:val="1"/>
    </w:pPr>
    <w:rPr>
      <w:b/>
      <w:bCs/>
      <w:color w:val="2E75B6"/>
      <w:sz w:val="30"/>
      <w:szCs w:val="30"/>
      <w:rFonts w:ascii="Microsoft YaHei" w:cs="Microsoft YaHei" w:eastAsia="Microsoft YaHei" w:hAnsi="Microsoft YaHei"/>
    </w:rPr>
  </w:style>
  <w:style w:type="paragraph" w:styleId="Heading3">
    <w:name w:val="Heading 3"/>
    <w:basedOn w:val="Normal"/>
    <w:next w:val="Normal"/>
    <w:qFormat/>
    <w:pPr>
      <w:spacing w:before="200" w:after="120"/>
      <w:outlineLvl w:val="2"/>
    </w:pPr>
    <w:rPr>
      <w:b/>
      <w:bCs/>
      <w:color w:val="5B9BD5"/>
      <w:sz w:val="26"/>
      <w:szCs w:val="26"/>
      <w:rFonts w:ascii="Microsoft YaHei" w:cs="Microsoft YaHei" w:eastAsia="Microsoft YaHei" w:hAnsi="Microsoft YaHei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2026-06-01T01:49:36.085Z</dcterms:created>
  <dcterms:modified xsi:type="dcterms:W3CDTF">2026-06-01T01:49:36.086Z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