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0"/>
      </w:pPr>
    </w:p>
    <w:p>
      <w:pPr>
        <w:spacing w:before="1200" w:after="200"/>
        <w:jc w:val="center"/>
      </w:pPr>
      <w:r>
        <w:rPr>
          <w:b/>
          <w:bCs/>
          <w:sz w:val="60"/>
          <w:szCs w:val="60"/>
          <w:rFonts w:ascii="Microsoft YaHei" w:cs="Microsoft YaHei" w:eastAsia="Microsoft YaHei" w:hAnsi="Microsoft YaHei"/>
        </w:rPr>
        <w:t xml:space="preserve">Token Factory</w:t>
      </w:r>
    </w:p>
    <w:p>
      <w:pPr>
        <w:spacing w:after="400"/>
        <w:jc w:val="center"/>
      </w:pPr>
      <w:r>
        <w:rPr>
          <w:color w:val="666666"/>
          <w:sz w:val="36"/>
          <w:szCs w:val="36"/>
          <w:rFonts w:ascii="Microsoft YaHei" w:cs="Microsoft YaHei" w:eastAsia="Microsoft YaHei" w:hAnsi="Microsoft YaHei"/>
        </w:rPr>
        <w:t xml:space="preserve">AI API 网关/代理系统 架构分析文档</w:t>
      </w:r>
    </w:p>
    <w:p>
      <w:pPr>
        <w:spacing w:before="200" w:after="200"/>
        <w:jc w:val="center"/>
      </w:pPr>
      <w:r>
        <w:rPr>
          <w:color w:val="CCCCCC"/>
          <w:sz w:val="24"/>
          <w:szCs w:val="24"/>
        </w:rPr>
        <w:t xml:space="preserve">━━━━━━━━━━━━━━━━━━━━━━━━━━━━━━━━━━━━━━━</w:t>
      </w:r>
    </w:p>
    <w:p>
      <w:pPr>
        <w:spacing w:before="800"/>
        <w:jc w:val="center"/>
      </w:pPr>
      <w:r>
        <w:rPr>
          <w:color w:val="888888"/>
          <w:sz w:val="24"/>
          <w:szCs w:val="24"/>
          <w:rFonts w:ascii="Microsoft YaHei" w:cs="Microsoft YaHei" w:eastAsia="Microsoft YaHei" w:hAnsi="Microsoft YaHei"/>
        </w:rPr>
        <w:t xml:space="preserve">版本：1.0</w:t>
      </w:r>
    </w:p>
    <w:p>
      <w:pPr>
        <w:spacing w:before="100"/>
        <w:jc w:val="center"/>
      </w:pPr>
      <w:r>
        <w:rPr>
          <w:color w:val="888888"/>
          <w:sz w:val="24"/>
          <w:szCs w:val="24"/>
          <w:rFonts w:ascii="Microsoft YaHei" w:cs="Microsoft YaHei" w:eastAsia="Microsoft YaHei" w:hAnsi="Microsoft YaHei"/>
        </w:rPr>
        <w:t xml:space="preserve">日期：2026-06-01</w:t>
      </w:r>
    </w:p>
    <w:p>
      <w:pPr>
        <w:spacing w:before="100"/>
        <w:jc w:val="center"/>
      </w:pPr>
      <w:r>
        <w:rPr>
          <w:color w:val="888888"/>
          <w:sz w:val="24"/>
          <w:szCs w:val="24"/>
          <w:rFonts w:ascii="Microsoft YaHei" w:cs="Microsoft YaHei" w:eastAsia="Microsoft YaHei" w:hAnsi="Microsoft YaHei"/>
        </w:rPr>
        <w:t xml:space="preserve">技术栈：Go 1.22+ / React 18 / Gin / GORM v2</w:t>
      </w:r>
    </w:p>
    <w:p>
      <w:r>
        <w:br w:type="page"/>
      </w:r>
    </w:p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目录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1. 项目概述与技术栈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2. 系统架构总览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3. 后端路由模块（router）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4. 控制器层（controller）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5. 数据模型层（model）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6. Relay 代理转发模块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7. 业务服务层（service）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8. 中间件层（middleware）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9. 配置管理（setting）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10. 公共工具（common）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11. OAuth 认证模块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12. 类型定义（types / dto / constant）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13. 前端模块（web）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14. 国际化（i18n）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15. 构建与部署</w:t>
      </w:r>
    </w:p>
    <w:p>
      <w:r>
        <w:br w:type="page"/>
      </w:r>
    </w:p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1. 项目概述与技术栈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1.1 项目简介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Token Factory 是一个 AI API 网关/代理系统，聚合了 40+ 上游 AI 服务商（OpenAI、Claude、Gemini、Azure、AWS Bedrock 等），提供统一 API 接口。系统包含用户管理、计费、限流、管理后台等完整功能。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1.2 技术栈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00"/>
        <w:gridCol w:w="4506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分层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技术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后端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Go 1.22+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Gin Web 框架、GORM v2 ORM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前端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React 18 + Vite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Semi Design UI (@douyinfe/semi-ui)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数据库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SQLite / MySQL / PostgreSQL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三库兼容，GORM 抽象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缓存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Redis + 内存缓存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go-redis 客户端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认证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JWT / WebAuthn / OAuth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GitHub、Discord、OIDC 等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前端包管理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Bun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优先使用 bun 代替 npm/yarn/pnpm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国际化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后端 go-i18n / 前端 i18next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中英双语，前端额外支持法/俄/日/越南语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2. 系统架构总览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2.1 分层架构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系统采用经典的分层架构模式：Router → Controller → Service → Model，各层职责明确：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400"/>
        <w:gridCol w:w="5506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层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目录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职责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路由层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router/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HTTP 路由注册，请求分发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控制器层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controller/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请求参数解析，调用 Service，返回响应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服务层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service/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核心业务逻辑处理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模型层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数据模型定义，数据库 CRUD 操作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代理层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AI API 转发，上游服务商适配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中间件层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middleware/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认证、限流、CORS、日志、分发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配置层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setting/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倍率、模型、运营、系统、性能配置管理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公共工具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common/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JSON 序列化、加密、Redis、环境变量、限流等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数据传输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dto/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请求/响应数据结构体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常量定义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constant/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API 类型、渠道类型、上下文键常量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类型定义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types/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 格式、文件来源、错误类型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国际化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i18n/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后端多语言资源（en/zh）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 第三方登录实现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内部包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pkg/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缓存（cachex）和网络（ionet）工具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前端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web/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React SPA 管理后台与用户界面</w:t>
            </w:r>
          </w:p>
        </w:tc>
      </w:tr>
    </w:tbl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2.2 数据流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用户请求 → Gin Router → Middleware（认证/限流/日志） → Controller → Service（业务逻辑） → Model（数据访问） → 数据库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AI 代理请求 → Relay Router → Relay Handler → 分发策略选择渠道 → Channel Adapter → 上游 AI 服务 → 响应流式回传</w:t>
      </w:r>
    </w:p>
    <w:p>
      <w:r>
        <w:br w:type="page"/>
      </w:r>
    </w:p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3. 后端路由模块（router）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3.1 路由器总览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390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路由器文件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路由前缀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用途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router/main.go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入口，组装所有子路由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router/api-router.go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管理后台 API 路由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router/relay-router.go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/v1/chat/completions 等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AI API 代理转发路由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router/dashboard.go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/api/dashboard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数据面板统计路由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router/video-router.go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/api/video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视频相关路由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router/web-router.go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前端静态资源与 SPA 路由</w:t>
            </w:r>
          </w:p>
        </w:tc>
      </w:tr>
    </w:tbl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3.2 API 路由（api-router.go）详细端点</w:t>
      </w:r>
    </w:p>
    <w:p>
      <w:pPr>
        <w:pStyle w:val="Heading3"/>
        <w:spacing w:before="200" w:after="120"/>
      </w:pPr>
      <w:r>
        <w:rPr>
          <w:rFonts w:ascii="Microsoft YaHei" w:cs="Microsoft YaHei" w:eastAsia="Microsoft YaHei" w:hAnsi="Microsoft YaHei"/>
        </w:rPr>
        <w:t xml:space="preserve">用户管理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800"/>
        <w:gridCol w:w="2400"/>
        <w:gridCol w:w="3406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方法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路径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处理函数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/api/user/self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GetSelf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获取当前用户信息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PUT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/api/user/self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UpdateSelf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更新当前用户信息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PUT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/api/user/self/password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ChangePassword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修改密码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GetAllUsers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分页获取用户列表（管理员）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CreateUser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创建用户（管理员）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PUT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/api/users/:id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ManageUser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管理用户（管理员）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DELETE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/api/users/:id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DeleteUser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删除用户（管理员）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/api/user/login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Login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用户登录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/api/user/register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Register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用户注册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/api/user/logout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Logout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用户登出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/api/user/status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GetStatus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获取系统状态（公开）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/api/user/reset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SendPasswordResetEmail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密码重置邮件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PUT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/api/user/aff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UpdateAff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更新推广信息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/api/user/aff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GetAffInfo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获取推广信息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/api/user/token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GenerateAccessToken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生成访问令牌</w:t>
            </w:r>
          </w:p>
        </w:tc>
      </w:tr>
    </w:tbl>
    <w:p>
      <w:pPr>
        <w:pStyle w:val="Heading3"/>
        <w:spacing w:before="200" w:after="120"/>
      </w:pPr>
      <w:r>
        <w:rPr>
          <w:rFonts w:ascii="Microsoft YaHei" w:cs="Microsoft YaHei" w:eastAsia="Microsoft YaHei" w:hAnsi="Microsoft YaHei"/>
        </w:rPr>
        <w:t xml:space="preserve">渠道管理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000"/>
        <w:gridCol w:w="2600"/>
        <w:gridCol w:w="3006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方法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路径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处理函数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/api/channel/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GetAllChannels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获取渠道列表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/api/channel/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AddChannel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创建渠道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PUT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/api/channel/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UpdateChannel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更新渠道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DELETE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/api/channel/:id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DeleteChannel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删除渠道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/api/channel/test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TestChannel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测试渠道连通性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/api/channel/search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SearchChannels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搜索渠道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/api/channel/fetch/models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FetchChannelModels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获取渠道可用模型</w:t>
            </w:r>
          </w:p>
        </w:tc>
      </w:tr>
    </w:tbl>
    <w:p>
      <w:pPr>
        <w:pStyle w:val="Heading3"/>
        <w:spacing w:before="200" w:after="120"/>
      </w:pPr>
      <w:r>
        <w:rPr>
          <w:rFonts w:ascii="Microsoft YaHei" w:cs="Microsoft YaHei" w:eastAsia="Microsoft YaHei" w:hAnsi="Microsoft YaHei"/>
        </w:rPr>
        <w:t xml:space="preserve">令牌管理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000"/>
        <w:gridCol w:w="2600"/>
        <w:gridCol w:w="3006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方法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路径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处理函数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/api/token/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GetAllTokens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获取令牌列表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/api/token/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AddToken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创建令牌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PUT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/api/token/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UpdateToken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更新令牌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DELETE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/api/token/:id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DeleteToken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删除令牌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/api/token/search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SearchTokens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搜索令牌</w:t>
            </w:r>
          </w:p>
        </w:tc>
      </w:tr>
    </w:tbl>
    <w:p>
      <w:pPr>
        <w:pStyle w:val="Heading3"/>
        <w:spacing w:before="200" w:after="120"/>
      </w:pPr>
      <w:r>
        <w:rPr>
          <w:rFonts w:ascii="Microsoft YaHei" w:cs="Microsoft YaHei" w:eastAsia="Microsoft YaHei" w:hAnsi="Microsoft YaHei"/>
        </w:rPr>
        <w:t xml:space="preserve">模型管理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400"/>
        <w:gridCol w:w="2400"/>
        <w:gridCol w:w="2806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方法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路径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处理函数</w:t>
            </w:r>
          </w:p>
        </w:tc>
        <w:tc>
          <w:tcPr>
            <w:tcW w:type="dxa" w:w="28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/api/model/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GetAllModels</w:t>
            </w:r>
          </w:p>
        </w:tc>
        <w:tc>
          <w:tcPr>
            <w:tcW w:type="dxa" w:w="28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获取模型列表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/api/model/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CreateModel</w:t>
            </w:r>
          </w:p>
        </w:tc>
        <w:tc>
          <w:tcPr>
            <w:tcW w:type="dxa" w:w="28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创建模型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PUT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/api/model/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UpdateModel</w:t>
            </w:r>
          </w:p>
        </w:tc>
        <w:tc>
          <w:tcPr>
            <w:tcW w:type="dxa" w:w="28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更新模型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DELETE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/api/model/:id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DeleteModel</w:t>
            </w:r>
          </w:p>
        </w:tc>
        <w:tc>
          <w:tcPr>
            <w:tcW w:type="dxa" w:w="28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删除模型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/api/model/test/:channelId/:modelName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TestModel</w:t>
            </w:r>
          </w:p>
        </w:tc>
        <w:tc>
          <w:tcPr>
            <w:tcW w:type="dxa" w:w="28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测试模型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/api/model/test/results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GetModelTestResults</w:t>
            </w:r>
          </w:p>
        </w:tc>
        <w:tc>
          <w:tcPr>
            <w:tcW w:type="dxa" w:w="28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获取测试结果</w:t>
            </w:r>
          </w:p>
        </w:tc>
      </w:tr>
    </w:tbl>
    <w:p>
      <w:pPr>
        <w:pStyle w:val="Heading3"/>
        <w:spacing w:before="200" w:after="120"/>
      </w:pPr>
      <w:r>
        <w:rPr>
          <w:rFonts w:ascii="Microsoft YaHei" w:cs="Microsoft YaHei" w:eastAsia="Microsoft YaHei" w:hAnsi="Microsoft YaHei"/>
        </w:rPr>
        <w:t xml:space="preserve">日志与计费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000"/>
        <w:gridCol w:w="2600"/>
        <w:gridCol w:w="3006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方法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路径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处理函数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/api/log/self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GetSelfLogs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用户自身日志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/api/logs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GetAllLogs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管理员查看所有日志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/api/log/search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SearchAllLogs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搜索日志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DELETE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/api/log/:id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DeleteLog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删除日志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/api/epay/notify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EpayNotify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易支付回调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/api/topup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TopUp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充值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/api/pricing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GetPricing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获取定价信息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/api/home/content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GetHomeContent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获取首页内容</w:t>
            </w:r>
          </w:p>
        </w:tc>
      </w:tr>
    </w:tbl>
    <w:p>
      <w:pPr>
        <w:pStyle w:val="Heading3"/>
        <w:spacing w:before="200" w:after="120"/>
      </w:pPr>
      <w:r>
        <w:rPr>
          <w:rFonts w:ascii="Microsoft YaHei" w:cs="Microsoft YaHei" w:eastAsia="Microsoft YaHei" w:hAnsi="Microsoft YaHei"/>
        </w:rPr>
        <w:t xml:space="preserve">运营设置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000"/>
        <w:gridCol w:w="2600"/>
        <w:gridCol w:w="3006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方法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路径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处理函数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/api/option/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GetOptions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获取配置选项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PUT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/api/option/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UpdateOption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更新配置选项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/api/option/:key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GetOption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获取单项配置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/api/config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GetConfig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获取系统配置</w:t>
            </w:r>
          </w:p>
        </w:tc>
      </w:tr>
    </w:tbl>
    <w:p>
      <w:pPr>
        <w:pStyle w:val="Heading3"/>
        <w:spacing w:before="200" w:after="120"/>
      </w:pPr>
      <w:r>
        <w:rPr>
          <w:rFonts w:ascii="Microsoft YaHei" w:cs="Microsoft YaHei" w:eastAsia="Microsoft YaHei" w:hAnsi="Microsoft YaHei"/>
        </w:rPr>
        <w:t xml:space="preserve">Redemption 兑换码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200"/>
        <w:gridCol w:w="2600"/>
        <w:gridCol w:w="2806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方法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路径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处理函数</w:t>
            </w:r>
          </w:p>
        </w:tc>
        <w:tc>
          <w:tcPr>
            <w:tcW w:type="dxa" w:w="28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/api/redemption/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GetAllRedemptions</w:t>
            </w:r>
          </w:p>
        </w:tc>
        <w:tc>
          <w:tcPr>
            <w:tcW w:type="dxa" w:w="28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获取兑换码列表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/api/redemption/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AddRedemption</w:t>
            </w:r>
          </w:p>
        </w:tc>
        <w:tc>
          <w:tcPr>
            <w:tcW w:type="dxa" w:w="28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创建兑换码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PUT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/api/redemption/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UpdateRedemption</w:t>
            </w:r>
          </w:p>
        </w:tc>
        <w:tc>
          <w:tcPr>
            <w:tcW w:type="dxa" w:w="28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更新兑换码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DELETE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/api/redemption/:id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DeleteRedemption</w:t>
            </w:r>
          </w:p>
        </w:tc>
        <w:tc>
          <w:tcPr>
            <w:tcW w:type="dxa" w:w="28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删除兑换码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/api/redemption/verify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VerifyRedemption</w:t>
            </w:r>
          </w:p>
        </w:tc>
        <w:tc>
          <w:tcPr>
            <w:tcW w:type="dxa" w:w="28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验证兑换码</w:t>
            </w:r>
          </w:p>
        </w:tc>
      </w:tr>
    </w:tbl>
    <w:p>
      <w:pPr>
        <w:pStyle w:val="Heading3"/>
        <w:spacing w:before="200" w:after="120"/>
      </w:pPr>
      <w:r>
        <w:rPr>
          <w:rFonts w:ascii="Microsoft YaHei" w:cs="Microsoft YaHei" w:eastAsia="Microsoft YaHei" w:hAnsi="Microsoft YaHei"/>
        </w:rPr>
        <w:t xml:space="preserve">其他功能接口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400"/>
        <w:gridCol w:w="2600"/>
        <w:gridCol w:w="2606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方法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路径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处理函数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/api/oauth/:type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OAuthLogin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 登录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/api/oauth/:type/callback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OAuthCallback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 回调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/api/webauthn/register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BeginWebAuthnReg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WebAuthn 注册开始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/api/webauthn/register/finish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FinishWebAuthnReg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WebAuthn 注册完成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/api/webauthn/login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BeginWebAuthnLogin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WebAuthn 登录开始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/api/webauthn/login/finish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FinishWebAuthnLogin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WebAuthn 登录完成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/api/chat/index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ChatIndex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聊天首页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/api/upload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Upload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文件上传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/api/supplier/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GetAllSuppliers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获取供应商列表</w:t>
            </w:r>
          </w:p>
        </w:tc>
      </w:tr>
    </w:tbl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3.3 Relay 路由（relay-router.go）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Relay 路由处理所有 AI API 代理转发请求，采用统一的 /v1 前缀兼容 OpenAI API 格式。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600"/>
        <w:gridCol w:w="2400"/>
        <w:gridCol w:w="2606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方法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路径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处理函数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/v1/chat/completions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聊天补全（核心接口）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/v1/completions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文本补全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/v1/images/generations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RelayImage2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图片生成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/v1/images/edits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RelayImage2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图片编辑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/v1/images/variations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RelayImage2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图片变体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/v1/embeddings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RelayEmbeddings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文本嵌入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/v1/audio/transcriptions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RelayAudio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音频转文字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/v1/audio/translations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RelayAudio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音频翻译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/v1/audio/speech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RelayAudioSpeech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文字转语音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/v1/moderations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RelayModerations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内容审核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/v1/models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RelayModels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获取可用模型列表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/v1/files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RelayFile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文件管理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/v1/rerank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RelayRerank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重排序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POST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/v1/responses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Relay</w:t>
            </w:r>
          </w:p>
        </w:tc>
        <w:tc>
          <w:tcPr>
            <w:tcW w:type="dxa" w:w="2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Responses API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4. 控制器层（controller）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controller 目录包含 70+ 个处理器文件，每个文件对应一个功能模块。以下列出核心控制器：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600"/>
        <w:gridCol w:w="370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控制器文件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核心函数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功能说明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user.go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Login/Register/GetSelf/UpdateSelf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用户登录注册、个人信息管理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channel.go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AddChannel/UpdateChannel/DeleteChannel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AI 渠道 CRUD 管理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token.go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AddToken/UpdateToken/DeleteToken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API 令牌管理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CreateModel/UpdateModel/DeleteModel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模型管理（含测试）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log.go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GetAllLogs/GetSelfLogs/SearchAllLogs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请求日志查询与分析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pricing.go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GetPricing/GetHomeContent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模型定价与首页展示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redemption.go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AddRedemption/VerifyRedemption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兑换码创建与验证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topup.go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TopUp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用户充值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epay.go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EpayNotify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易支付回调处理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OAuthLogin/OAuthCallback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第三方 OAuth 登录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webauthn.go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BeginWebAuthnReg/FinishWebAuthnReg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WebAuthn Passkey 登录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file.go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Upload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文件上传处理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chat.go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ChatIndex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聊天页面数据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dashboard.go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GetDashboardStatistics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管理面板统计数据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option.go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GetOptions/UpdateOption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系统配置读写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supplier.go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GetAllSuppliers</w:t>
            </w:r>
          </w:p>
        </w:tc>
        <w:tc>
          <w:tcPr>
            <w:tcW w:type="dxa" w:w="3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供应商列表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5. 数据模型层（model）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5.1 核心数据模型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400"/>
        <w:gridCol w:w="270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模型文件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结构体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数据库表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用途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user.go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User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users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用户账户信息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channel.go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Channel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channels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AI 渠道配置（密钥、模型列表）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token.go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Token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tokens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API 访问令牌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ability.go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Ability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abilities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渠道-模型绑定关系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log.go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logs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请求日志与计费记录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redemption.go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Redemption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redemptions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兑换码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topup.go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TopUp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top_ups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充值记录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模型定义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model_tag.go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ModelTag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model_tags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模型标签分类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model_test_result.go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ModelTestResult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model_test_results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模型测试结果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pricing.go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Pricing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pricings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定价规则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config.go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Config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configs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系统配置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banner.go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Banner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banners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轮播图/广告位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file.go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File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files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文件存储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notification.go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Notification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notifications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通知消息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 绑定记录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passkey.go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Passkey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passkeys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WebAuthn Passkey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aff.go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Aff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affs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推广/邀请关系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quota.go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Quota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quotas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用户额度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supplier.go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Supplier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suppliers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供应商信息</w:t>
            </w:r>
          </w:p>
        </w:tc>
      </w:tr>
    </w:tbl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5.2 模型层关键函数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400"/>
        <w:gridCol w:w="2906"/>
      </w:tblGrid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函数名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所在文件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InitDB()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main.go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数据库初始化、自动迁移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LoadChannelPricingTestSuccessIndex()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pricing.go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加载渠道测试成功索引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BuildPricingAPIItems()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pricing.go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构建定价 API 数据（核心）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GetModelTestResultsByModelNameAndChannelIDs()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model_test_result.go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按模型和渠道查测试结果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GetRandomSatisfiedChannel()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channel.go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分发策略：随机选可用渠道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GetAllChannels()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channel.go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获取所有渠道列表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LoadAbilitiesFromDB()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ability.go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加载渠道-模型绑定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RecordLog()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log.go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记录请求日志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6. Relay 代理转发模块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6.1 Relay 架构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Relay 模块是系统的核心，负责接收统一格式的 AI API 请求，通过分发策略选择合适的上游渠道，适配不同服务商的 API 差异，并将结果（支持 SSE 流式）返回给客户端。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请求流程：Client → Relay Handler → 分发策略（负载均衡/权重/优先级） → Channel Adapter → Upstream AI Service → Response（流式/非流式）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6.2 渠道适配器列表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relay/channel/ 目录下包含 40+ 个上游 AI 服务商适配器：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800"/>
        <w:gridCol w:w="450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适配器目录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服务商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openai/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OpenAI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GPT 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claude/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Anthropic Claude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Claude 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gemini/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Google Gemini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Gemini 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azure/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Azure OpenAI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Azure 托管的 OpenAI 服务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aws/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AWS Bedrock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Amazon Bedrock AI 服务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ali/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阿里云百炼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通义千问系列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baidu/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百度文心一言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文心系列模型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bytedance/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字节豆包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豆包系列模型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tencent/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腾讯混元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混元系列模型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zhipu/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智谱AI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GLM 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moonshot/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Moonshot/Kimi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月之暗面 Kimi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deepseek/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DeepSeek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DeepSeek 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yi/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零一万物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Yi 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baichuan/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百川智能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百川系列模型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minimax/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MiniMax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MiniMax 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cohere/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Cohere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Command 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mistral/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Mistral AI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Mistral 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coze/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Coze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扣子 AI 平台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stepfun/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阶跃星辰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Step 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doubao/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豆包（火山引擎）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火山引擎豆包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glm/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智谱 GLM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GLM-4 系列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spark/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科大讯飞星火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Spark 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hunyuan/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腾讯混元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hunyuan-turbo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lingyiwanwu/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零一万物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零一万物接口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siliconflow/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SiliconFlow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硅基流动平台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novita/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Novita AI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Novita AI 平台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together/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Together AI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Together AI 平台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xai/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xAI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Grok 系列模型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jina/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Jina AI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Embedding/Rerank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voyage/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Voyage AI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Embedding 服务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nomic/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Nomic AI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Embedding 服务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deepbricks/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DeepBricks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AI 服务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github/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GitHub Models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GitHub AI 模型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cloudflare/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Cloudflare Workers AI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Cloudflare AI 推理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samba/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SambaNova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SambaNova AI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cerebras/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Cerebras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Cerebras 推理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dmxapi/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DMXAPI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第三方聚合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99api/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99API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第三方聚合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feishu/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飞书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飞书 AI 接口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7. 业务服务层（service）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service 目录包含 50+ 个业务逻辑文件，封装核心业务处理：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600"/>
        <w:gridCol w:w="430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服务文件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核心功能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quota_service.go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额度计算与扣减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请求计费、余额管理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channel_service.go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渠道调度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渠道选择、负载均衡、故障转移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token_service.go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令牌验证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API Key 验证、权限检查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user_service.go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用户业务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用户注册/登录/信息管理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log_service.go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日志服务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日志查询、统计、清理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redemption_service.go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兑换服务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兑换码生成、验证、核销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topup_service.go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充值服务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充值处理、回调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file_service.go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文件服务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文件上传、存储、管理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notification_service.go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通知服务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系统通知推送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pricing_service.go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定价服务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模型定价计算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模型服务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模型测试、状态管理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supplier_service.go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供应商服务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供应商信息管理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aff_service.go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推广服务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推广链接、佣金结算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OAuth 服务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第三方登录集成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webauthn_service.go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WebAuthn 服务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Passkey 管理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epay_service.go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支付服务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易支付集成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task_service.go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定时任务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异步任务调度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8. 中间件层（middleware）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middleware 目录包含 26 个中间件，用于请求拦截与处理：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400"/>
        <w:gridCol w:w="450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中间件文件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功能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应用场景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auth.go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JWT 认证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API 请求鉴权，验证令牌有效性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rate-limit.go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频率限制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全局/用户/IP 级别限流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cors.go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跨域处理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CORS 响应头设置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logger.go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请求日志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记录请求信息与耗时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distributor.go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分发策略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按权重/优先级分发到不同渠道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model_rate_limit.go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模型级限流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针对特定模型的频率限制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turnstile.go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Turnstile 验证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Cloudflare Turnstile 人机验证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ip.go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IP 解析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客户端真实 IP 提取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request-id.go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请求 ID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生成唯一请求追踪 ID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auth-admin.go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管理员认证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管理后台 API 鉴权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cache.go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响应缓存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高频请求缓存加速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gzip.go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Gzip 压缩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响应体压缩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recovery.go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异常恢复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Panic 恢复与错误日志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secure.go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安全头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安全相关 HTTP 头设置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9. 配置管理（setting）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9.1 配置模块组织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400"/>
        <w:gridCol w:w="450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子目录/文件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功能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ratio_setting/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倍率配置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模型倍率、分组倍率管理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operation_setting/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运营配置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注册开关、邀请奖励等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system_setting/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系统配置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邮件服务、通知等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model_setting.go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模型配置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模型列表、默认设置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performance_setting.go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性能配置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缓存策略、并发设置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server_setting.go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服务配置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服务器地址、端口</w:t>
            </w:r>
          </w:p>
        </w:tc>
      </w:tr>
    </w:tbl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10. 公共工具（common）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106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文件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功能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json.go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JSON 序列化/反序列化封装（项目强制使用）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redis.go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Redis 连接与操作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logger.go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日志工具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crypto.go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加密/解密工具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email.go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邮件发送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env.go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环境变量读取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rate-limit.go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令牌桶限流器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random.go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随机数/字符串生成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utils.go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通用工具函数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constants.go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公共常量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image.go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图片处理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gin.go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Gin 框架工具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config.go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配置加载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test.go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测试工具</w:t>
            </w:r>
          </w:p>
        </w:tc>
      </w:tr>
    </w:tbl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11. OAuth 认证模块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oauth/ 目录实现了多种第三方登录提供商：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5306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提供商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文件</w:t>
            </w:r>
          </w:p>
        </w:tc>
        <w:tc>
          <w:tcPr>
            <w:tcW w:type="dxa" w:w="5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GitHub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github.go</w:t>
            </w:r>
          </w:p>
        </w:tc>
        <w:tc>
          <w:tcPr>
            <w:tcW w:type="dxa" w:w="5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GitHub OAuth 登录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Discord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discord.go</w:t>
            </w:r>
          </w:p>
        </w:tc>
        <w:tc>
          <w:tcPr>
            <w:tcW w:type="dxa" w:w="5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Discord OAuth 登录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微信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wechat.go</w:t>
            </w:r>
          </w:p>
        </w:tc>
        <w:tc>
          <w:tcPr>
            <w:tcW w:type="dxa" w:w="5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微信公众号/开放平台登录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OIDC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oidc.go</w:t>
            </w:r>
          </w:p>
        </w:tc>
        <w:tc>
          <w:tcPr>
            <w:tcW w:type="dxa" w:w="5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通用 OIDC 协议登录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Google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google.go</w:t>
            </w:r>
          </w:p>
        </w:tc>
        <w:tc>
          <w:tcPr>
            <w:tcW w:type="dxa" w:w="5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Google OAuth 登录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Lark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lark.go</w:t>
            </w:r>
          </w:p>
        </w:tc>
        <w:tc>
          <w:tcPr>
            <w:tcW w:type="dxa" w:w="5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飞书 OAuth 登录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12. 类型定义（types / dto / constant）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12.1 types 目录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定义 Relay 相关的核心类型：请求格式（RelayRequest/GeneralOpenAIRequest）、响应格式、文件来源、错误类型等。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12.2 dto 目录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数据传输对象（Data Transfer Object），包含请求/响应的结构体定义，如 PaginationRequest、ChannelRequest、TokenRequest 等。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12.3 constant 目录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文件</w:t>
            </w:r>
          </w:p>
        </w:tc>
        <w:tc>
          <w:tcPr>
            <w:tcW w:type="dxa" w:w="6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定义内容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api_type.go</w:t>
            </w:r>
          </w:p>
        </w:tc>
        <w:tc>
          <w:tcPr>
            <w:tcW w:type="dxa" w:w="6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API 类型常量（ChatCompletion、Embedding、ImageGeneration 等）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channel_type.go</w:t>
            </w:r>
          </w:p>
        </w:tc>
        <w:tc>
          <w:tcPr>
            <w:tcW w:type="dxa" w:w="6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渠道类型常量（OpenAI、Claude、Gemini、Azure 等 40+ 类型）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context_key.go</w:t>
            </w:r>
          </w:p>
        </w:tc>
        <w:tc>
          <w:tcPr>
            <w:tcW w:type="dxa" w:w="6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上下文键常量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model_type.go</w:t>
            </w:r>
          </w:p>
        </w:tc>
        <w:tc>
          <w:tcPr>
            <w:tcW w:type="dxa" w:w="6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模型分类常量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permission.go</w:t>
            </w:r>
          </w:p>
        </w:tc>
        <w:tc>
          <w:tcPr>
            <w:tcW w:type="dxa" w:w="6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权限常量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status_code.go</w:t>
            </w:r>
          </w:p>
        </w:tc>
        <w:tc>
          <w:tcPr>
            <w:tcW w:type="dxa" w:w="6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HTTP 状态码常量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13. 前端模块（web）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13.1 前端目录结构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目录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功能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web/src/pages/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页面组件（按功能模块分目录）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web/src/components/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共享 UI 组件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web/src/i18n/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国际化资源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web/src/helpers/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前端工具函数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web/src/routes/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路由配置（App.jsx）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web/src/models/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数据模型（前端）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web/src/services/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API 服务调用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web/src/context/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React Context 状态管理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web/src/styles/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全局样式</w:t>
            </w:r>
          </w:p>
        </w:tc>
      </w:tr>
    </w:tbl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13.2 前端页面模块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4306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页面目录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路由路径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功能说明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Home/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首页（模型广场、公告、使用指南）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Pricing/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/pricing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模型定价页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Login/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/login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登录页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Register/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/register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注册页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ForgotPassword/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/forget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忘记密码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Dashboard/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/dashboard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用户数据面板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TopUp/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/topup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充值页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Token/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/token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令牌管理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Log/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/log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请求日志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Setting/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/setting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个人设置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User/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/user（管理）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用户管理（管理员）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Channel/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/channel（管理）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渠道管理（管理员）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Model/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/model（管理）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模型管理（管理员）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Supplier/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/supplier（管理）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供应商管理（管理员）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Redemption/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/redemption（管理）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兑换码管理（管理员）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Operation/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/operation（管理）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运营设置（管理员）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Chat/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/chat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聊天对话页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Playground/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/playground</w:t>
            </w:r>
          </w:p>
        </w:tc>
        <w:tc>
          <w:tcPr>
            <w:tcW w:type="dxa" w:w="4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API 测试场</w:t>
            </w:r>
          </w:p>
        </w:tc>
      </w:tr>
    </w:tbl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13.3 管理后台设置标签页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Setting/Operation 管理页面包含 20+ 个设置标签：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106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标签页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设置内容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系统设置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系统名称、Logo、描述等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注册设置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注册开关、邮箱验证、邀请码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邮件设置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SMTP 服务器配置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GitHub OAuth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GitHub OAuth 客户端配置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微信设置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微信公众号/开放平台配置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Turnstile 设置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Cloudflare 人机验证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Redis 设置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Redis 连接配置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日志设置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日志保留天数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额度设置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新用户初始额度、充值倍率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倍率设置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模型倍率、分组倍率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模型设置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模型列表管理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首页设置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首页内容定制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公告设置</w:t>
            </w:r>
          </w:p>
        </w:tc>
        <w:tc>
          <w:tcPr>
            <w:tcW w:type="dxa" w:w="7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系统公告管理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14. 国际化（i18n）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14.1 后端国际化（i18n/）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使用 nicksnyder/go-i18n/v2 库，支持 en（英语）和 zh（中文）两种语言。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14.2 前端国际化（web/src/i18n/）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使用 i18next + react-i18next + i18next-browser-languagedetector 库。翻译文件位于 web/src/i18n/locales/ 目录。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706"/>
      </w:tblGrid>
      <w:tr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语言文件</w:t>
            </w:r>
          </w:p>
        </w:tc>
        <w:tc>
          <w:tcPr>
            <w:tcW w:type="dxa" w:w="4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语言</w:t>
            </w:r>
          </w:p>
        </w:tc>
      </w:tr>
      <w:tr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zh.json</w:t>
            </w:r>
          </w:p>
        </w:tc>
        <w:tc>
          <w:tcPr>
            <w:tcW w:type="dxa" w:w="4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中文（默认/回退语言）</w:t>
            </w:r>
          </w:p>
        </w:tc>
      </w:tr>
      <w:tr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en.json</w:t>
            </w:r>
          </w:p>
        </w:tc>
        <w:tc>
          <w:tcPr>
            <w:tcW w:type="dxa" w:w="4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英语</w:t>
            </w:r>
          </w:p>
        </w:tc>
      </w:tr>
      <w:tr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fr.json</w:t>
            </w:r>
          </w:p>
        </w:tc>
        <w:tc>
          <w:tcPr>
            <w:tcW w:type="dxa" w:w="4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法语</w:t>
            </w:r>
          </w:p>
        </w:tc>
      </w:tr>
      <w:tr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ru.json</w:t>
            </w:r>
          </w:p>
        </w:tc>
        <w:tc>
          <w:tcPr>
            <w:tcW w:type="dxa" w:w="4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俄语</w:t>
            </w:r>
          </w:p>
        </w:tc>
      </w:tr>
      <w:tr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ja.json</w:t>
            </w:r>
          </w:p>
        </w:tc>
        <w:tc>
          <w:tcPr>
            <w:tcW w:type="dxa" w:w="4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日语</w:t>
            </w:r>
          </w:p>
        </w:tc>
      </w:tr>
      <w:tr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vi.json</w:t>
            </w:r>
          </w:p>
        </w:tc>
        <w:tc>
          <w:tcPr>
            <w:tcW w:type="dxa" w:w="4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越南语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Microsoft YaHei" w:cs="Microsoft YaHei" w:eastAsia="Microsoft YaHei" w:hAnsi="Microsoft YaHei"/>
        </w:rPr>
        <w:t xml:space="preserve">15. 构建与部署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15.1 构建文件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文件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Fonts w:ascii="Microsoft YaHei" w:cs="Microsoft YaHei" w:eastAsia="Microsoft YaHei" w:hAnsi="Microsoft YaHei"/>
              </w:rPr>
              <w:t xml:space="preserve">说明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Dockerfile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多阶段构建：Go 编译 + Nginx 前端部署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docker-compose.yml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Docker Compose 编排（PostgreSQL + Redis + App）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docker-compose.local.yml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本地开发环境编排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makefile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Make 构建命令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.env.example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76"/>
            </w:pPr>
            <w:r>
              <w:rPr>
                <w:sz w:val="19"/>
                <w:szCs w:val="19"/>
                <w:rFonts w:ascii="Microsoft YaHei" w:cs="Microsoft YaHei" w:eastAsia="Microsoft YaHei" w:hAnsi="Microsoft YaHei"/>
              </w:rPr>
              <w:t xml:space="preserve">环境变量模板</w:t>
            </w:r>
          </w:p>
        </w:tc>
      </w:tr>
    </w:tbl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15.2 开发环境启动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1. 复制 .env.example 为 .env，填写配置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2. 启动数据库服务：docker compose -f docker-compose.local.yml up -d postgres redis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3. 启动后端：go run main.go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4. 启动前端：cd web &amp;&amp; bun install &amp;&amp; bun run dev</w:t>
      </w:r>
    </w:p>
    <w:p>
      <w:pPr>
        <w:pStyle w:val="Heading2"/>
        <w:spacing w:before="280" w:after="160"/>
      </w:pPr>
      <w:r>
        <w:rPr>
          <w:rFonts w:ascii="Microsoft YaHei" w:cs="Microsoft YaHei" w:eastAsia="Microsoft YaHei" w:hAnsi="Microsoft YaHei"/>
        </w:rPr>
        <w:t xml:space="preserve">15.3 生产部署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1. 构建镜像：docker build -t token-factory:latest .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2. 启动服务：docker compose up -d</w:t>
      </w:r>
    </w:p>
    <w:p>
      <w:pPr>
        <w:spacing w:before="60" w:after="60" w:line="276"/>
      </w:pPr>
      <w:r>
        <w:rPr>
          <w:sz w:val="21"/>
          <w:szCs w:val="21"/>
          <w:rFonts w:ascii="Microsoft YaHei" w:cs="Microsoft YaHei" w:eastAsia="Microsoft YaHei" w:hAnsi="Microsoft YaHei"/>
        </w:rPr>
        <w:t xml:space="preserve">3. 默认端口：3000</w:t>
      </w:r>
    </w:p>
    <w:sectPr>
      <w:headerReference w:type="default" r:id="rId6"/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AAAAAA"/>
        <w:sz w:val="18"/>
        <w:szCs w:val="18"/>
        <w:rFonts w:ascii="Microsoft YaHei" w:cs="Microsoft YaHei" w:eastAsia="Microsoft YaHei" w:hAnsi="Microsoft YaHei"/>
      </w:rPr>
      <w:t xml:space="preserve">第 </w:t>
    </w:r>
    <w:r>
      <w:rPr>
        <w:color w:val="AAAAAA"/>
        <w:sz w:val="18"/>
        <w:szCs w:val="18"/>
        <w:rFonts w:ascii="Microsoft YaHei" w:cs="Microsoft YaHei" w:eastAsia="Microsoft YaHei" w:hAnsi="Microsoft YaHei"/>
      </w:rPr>
      <w:fldChar w:fldCharType="begin"/>
      <w:instrText xml:space="preserve">PAGE</w:instrText>
      <w:fldChar w:fldCharType="separate"/>
      <w:fldChar w:fldCharType="end"/>
    </w:r>
    <w:r>
      <w:rPr>
        <w:color w:val="AAAAAA"/>
        <w:sz w:val="18"/>
        <w:szCs w:val="18"/>
        <w:rFonts w:ascii="Microsoft YaHei" w:cs="Microsoft YaHei" w:eastAsia="Microsoft YaHei" w:hAnsi="Microsoft YaHei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AAAAAA"/>
        <w:sz w:val="18"/>
        <w:szCs w:val="18"/>
        <w:rFonts w:ascii="Microsoft YaHei" w:cs="Microsoft YaHei" w:eastAsia="Microsoft YaHei" w:hAnsi="Microsoft YaHei"/>
      </w:rPr>
      <w:t xml:space="preserve">Token Factory 架构分析文档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szCs w:val="21"/>
        <w:rFonts w:ascii="Microsoft YaHei" w:cs="Microsoft YaHei" w:eastAsia="Microsoft YaHei" w:hAnsi="Microsoft YaHe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b/>
      <w:bCs/>
      <w:color w:val="1F4E79"/>
      <w:sz w:val="36"/>
      <w:szCs w:val="36"/>
      <w:rFonts w:ascii="Microsoft YaHei" w:cs="Microsoft YaHei" w:eastAsia="Microsoft YaHei" w:hAnsi="Microsoft YaHei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b/>
      <w:bCs/>
      <w:color w:val="2E75B6"/>
      <w:sz w:val="30"/>
      <w:szCs w:val="30"/>
      <w:rFonts w:ascii="Microsoft YaHei" w:cs="Microsoft YaHei" w:eastAsia="Microsoft YaHei" w:hAnsi="Microsoft YaHei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b/>
      <w:bCs/>
      <w:color w:val="5B9BD5"/>
      <w:sz w:val="26"/>
      <w:szCs w:val="26"/>
      <w:rFonts w:ascii="Microsoft YaHei" w:cs="Microsoft YaHei" w:eastAsia="Microsoft YaHei" w:hAnsi="Microsoft YaHei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2026-06-01T01:49:36.085Z</dcterms:created>
  <dcterms:modified xsi:type="dcterms:W3CDTF">2026-06-01T01:49:36.086Z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